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3F31D" w14:textId="77777777" w:rsidR="00307BF8" w:rsidRPr="001026F4" w:rsidRDefault="00307BF8" w:rsidP="00307BF8">
      <w:pPr>
        <w:widowControl w:val="0"/>
        <w:autoSpaceDE w:val="0"/>
        <w:autoSpaceDN w:val="0"/>
        <w:spacing w:line="233" w:lineRule="exact"/>
        <w:jc w:val="center"/>
        <w:rPr>
          <w:rFonts w:ascii="Arial" w:eastAsia="Cambria" w:hAnsi="Arial" w:cs="Arial"/>
          <w:lang w:eastAsia="pl-PL" w:bidi="pl-PL"/>
        </w:rPr>
      </w:pPr>
      <w:r w:rsidRPr="001E17C0">
        <w:rPr>
          <w:rFonts w:ascii="Arial" w:eastAsia="Cambria" w:hAnsi="Arial" w:cs="Arial"/>
          <w:highlight w:val="green"/>
          <w:lang w:eastAsia="pl-PL" w:bidi="pl-PL"/>
        </w:rPr>
        <w:t xml:space="preserve">Dot. części nr </w:t>
      </w:r>
      <w:r>
        <w:rPr>
          <w:rFonts w:ascii="Arial" w:eastAsia="Cambria" w:hAnsi="Arial" w:cs="Arial"/>
          <w:highlight w:val="green"/>
          <w:lang w:eastAsia="pl-PL" w:bidi="pl-PL"/>
        </w:rPr>
        <w:t>2</w:t>
      </w:r>
    </w:p>
    <w:p w14:paraId="19F323BD" w14:textId="77777777" w:rsidR="00D7644C" w:rsidRDefault="00D7644C" w:rsidP="00EB6FE1">
      <w:pPr>
        <w:rPr>
          <w:rFonts w:ascii="Avenir Book" w:hAnsi="Avenir Book"/>
          <w:b/>
          <w:bCs/>
          <w:sz w:val="22"/>
          <w:szCs w:val="22"/>
        </w:rPr>
      </w:pPr>
    </w:p>
    <w:p w14:paraId="48D6BA5C" w14:textId="70B84717" w:rsidR="009A0807" w:rsidRDefault="00D7644C" w:rsidP="009A0807">
      <w:pPr>
        <w:jc w:val="center"/>
        <w:rPr>
          <w:rFonts w:ascii="Avenir Book" w:hAnsi="Avenir Book"/>
          <w:b/>
          <w:bCs/>
          <w:sz w:val="22"/>
          <w:szCs w:val="22"/>
        </w:rPr>
      </w:pPr>
      <w:r w:rsidRPr="00D7644C">
        <w:rPr>
          <w:rFonts w:ascii="Avenir Book" w:hAnsi="Avenir Book"/>
          <w:b/>
          <w:bCs/>
          <w:sz w:val="22"/>
          <w:szCs w:val="22"/>
        </w:rPr>
        <w:t xml:space="preserve">Opis </w:t>
      </w:r>
      <w:r w:rsidR="009A0807">
        <w:rPr>
          <w:rFonts w:ascii="Avenir Book" w:hAnsi="Avenir Book"/>
          <w:b/>
          <w:bCs/>
          <w:sz w:val="22"/>
          <w:szCs w:val="22"/>
        </w:rPr>
        <w:t>MINIMALNYCH</w:t>
      </w:r>
      <w:r w:rsidRPr="00D7644C">
        <w:rPr>
          <w:rFonts w:ascii="Avenir Book" w:hAnsi="Avenir Book"/>
          <w:b/>
          <w:bCs/>
          <w:sz w:val="22"/>
          <w:szCs w:val="22"/>
        </w:rPr>
        <w:t xml:space="preserve"> parametrów technicznych</w:t>
      </w:r>
    </w:p>
    <w:p w14:paraId="10A89637" w14:textId="467AA748" w:rsidR="00D7644C" w:rsidRDefault="00D7644C" w:rsidP="009A0807">
      <w:pPr>
        <w:jc w:val="center"/>
        <w:rPr>
          <w:rFonts w:ascii="Avenir Book" w:hAnsi="Avenir Book"/>
          <w:b/>
          <w:bCs/>
          <w:sz w:val="22"/>
          <w:szCs w:val="22"/>
        </w:rPr>
      </w:pPr>
      <w:r w:rsidRPr="00D7644C">
        <w:rPr>
          <w:rFonts w:ascii="Avenir Book" w:hAnsi="Avenir Book"/>
          <w:b/>
          <w:bCs/>
          <w:sz w:val="22"/>
          <w:szCs w:val="22"/>
        </w:rPr>
        <w:t>(poniższe parametry techniczne są minimalnymi wymogami zamawiającego jednocześnie stanowią wskazanie minimalne wymogi dla urządzeń równoważnych</w:t>
      </w:r>
      <w:r w:rsidR="00536711">
        <w:rPr>
          <w:rFonts w:ascii="Avenir Book" w:hAnsi="Avenir Book"/>
          <w:b/>
          <w:bCs/>
          <w:sz w:val="22"/>
          <w:szCs w:val="22"/>
        </w:rPr>
        <w:t>, chyba że jest inny zapis np. max.</w:t>
      </w:r>
      <w:r w:rsidRPr="00D7644C">
        <w:rPr>
          <w:rFonts w:ascii="Avenir Book" w:hAnsi="Avenir Book"/>
          <w:b/>
          <w:bCs/>
          <w:sz w:val="22"/>
          <w:szCs w:val="22"/>
        </w:rPr>
        <w:t>)</w:t>
      </w:r>
      <w:r>
        <w:rPr>
          <w:rFonts w:ascii="Avenir Book" w:hAnsi="Avenir Book"/>
          <w:b/>
          <w:bCs/>
          <w:sz w:val="22"/>
          <w:szCs w:val="22"/>
        </w:rPr>
        <w:t>.</w:t>
      </w:r>
    </w:p>
    <w:p w14:paraId="71907E6F" w14:textId="313DE3DB" w:rsidR="00536711" w:rsidRDefault="00536711" w:rsidP="009A0807">
      <w:pPr>
        <w:jc w:val="center"/>
        <w:rPr>
          <w:rFonts w:ascii="Avenir Book" w:hAnsi="Avenir Book"/>
          <w:b/>
          <w:bCs/>
          <w:sz w:val="22"/>
          <w:szCs w:val="22"/>
        </w:rPr>
      </w:pPr>
      <w:r>
        <w:rPr>
          <w:rFonts w:ascii="Avenir Book" w:hAnsi="Avenir Book"/>
          <w:b/>
          <w:bCs/>
          <w:sz w:val="22"/>
          <w:szCs w:val="22"/>
        </w:rPr>
        <w:t>Równocześnie br</w:t>
      </w:r>
      <w:r w:rsidRPr="00536711">
        <w:rPr>
          <w:rFonts w:ascii="Avenir Book" w:hAnsi="Avenir Book"/>
          <w:b/>
          <w:bCs/>
          <w:sz w:val="22"/>
          <w:szCs w:val="22"/>
        </w:rPr>
        <w:t>ak określenia minimum</w:t>
      </w:r>
      <w:r w:rsidR="00E8109B">
        <w:rPr>
          <w:rFonts w:ascii="Avenir Book" w:hAnsi="Avenir Book"/>
          <w:b/>
          <w:bCs/>
          <w:sz w:val="22"/>
          <w:szCs w:val="22"/>
        </w:rPr>
        <w:t xml:space="preserve"> lub maximum</w:t>
      </w:r>
      <w:r w:rsidRPr="00536711">
        <w:rPr>
          <w:rFonts w:ascii="Avenir Book" w:hAnsi="Avenir Book"/>
          <w:b/>
          <w:bCs/>
          <w:sz w:val="22"/>
          <w:szCs w:val="22"/>
        </w:rPr>
        <w:t xml:space="preserve"> oznacza wymaganie na poziomie minimalnym, a Wykonawca może zaoferować rozwiązanie o lepszych parametrach</w:t>
      </w:r>
      <w:r>
        <w:rPr>
          <w:rFonts w:ascii="Avenir Book" w:hAnsi="Avenir Book"/>
          <w:b/>
          <w:bCs/>
          <w:sz w:val="22"/>
          <w:szCs w:val="22"/>
        </w:rPr>
        <w:t>.</w:t>
      </w:r>
    </w:p>
    <w:p w14:paraId="01487C71" w14:textId="77777777" w:rsidR="00D7644C" w:rsidRDefault="00D7644C" w:rsidP="00EB6FE1">
      <w:pPr>
        <w:rPr>
          <w:rFonts w:ascii="Avenir Book" w:hAnsi="Avenir Book"/>
          <w:b/>
          <w:bCs/>
          <w:sz w:val="22"/>
          <w:szCs w:val="22"/>
        </w:rPr>
      </w:pPr>
    </w:p>
    <w:p w14:paraId="50AA9BFC" w14:textId="1844A556" w:rsidR="00A04346" w:rsidRDefault="00A04346">
      <w:pPr>
        <w:rPr>
          <w:rFonts w:ascii="Avenir Book" w:hAnsi="Avenir Book"/>
          <w:sz w:val="22"/>
          <w:szCs w:val="22"/>
        </w:rPr>
      </w:pPr>
    </w:p>
    <w:p w14:paraId="1C878CAA" w14:textId="4FDD309C" w:rsidR="003B4013" w:rsidRPr="00774BA2" w:rsidRDefault="003B4013" w:rsidP="00307BF8">
      <w:pPr>
        <w:ind w:left="-142"/>
        <w:jc w:val="center"/>
        <w:rPr>
          <w:rFonts w:ascii="Avenir Book" w:hAnsi="Avenir Book"/>
          <w:b/>
          <w:sz w:val="30"/>
          <w:szCs w:val="36"/>
        </w:rPr>
      </w:pPr>
      <w:r w:rsidRPr="00774BA2">
        <w:rPr>
          <w:rFonts w:ascii="Avenir Book" w:hAnsi="Avenir Book"/>
          <w:b/>
          <w:sz w:val="30"/>
          <w:szCs w:val="36"/>
        </w:rPr>
        <w:t>Instalacja sieciowa</w:t>
      </w:r>
      <w:r w:rsidR="00BC10FE" w:rsidRPr="00774BA2">
        <w:rPr>
          <w:rFonts w:ascii="Avenir Book" w:hAnsi="Avenir Book"/>
          <w:b/>
          <w:sz w:val="30"/>
          <w:szCs w:val="36"/>
        </w:rPr>
        <w:t xml:space="preserve"> (1 kpl)</w:t>
      </w:r>
      <w:r w:rsidRPr="00774BA2">
        <w:rPr>
          <w:rFonts w:ascii="Avenir Book" w:hAnsi="Avenir Book"/>
          <w:b/>
          <w:sz w:val="30"/>
          <w:szCs w:val="36"/>
        </w:rPr>
        <w:t>:</w:t>
      </w:r>
    </w:p>
    <w:p w14:paraId="7F8510DA" w14:textId="77777777" w:rsidR="003B4013" w:rsidRDefault="003B4013" w:rsidP="006C61CF">
      <w:pPr>
        <w:autoSpaceDE w:val="0"/>
        <w:autoSpaceDN w:val="0"/>
        <w:adjustRightInd w:val="0"/>
        <w:jc w:val="both"/>
        <w:rPr>
          <w:rFonts w:ascii="Arial Nova" w:hAnsi="Arial Nova" w:cs="Arial Nova"/>
          <w:color w:val="000000"/>
          <w:kern w:val="0"/>
          <w:sz w:val="18"/>
          <w:szCs w:val="18"/>
        </w:rPr>
      </w:pPr>
    </w:p>
    <w:tbl>
      <w:tblPr>
        <w:tblStyle w:val="TableGrid"/>
        <w:tblW w:w="11619" w:type="dxa"/>
        <w:jc w:val="center"/>
        <w:tblInd w:w="0" w:type="dxa"/>
        <w:tblCellMar>
          <w:top w:w="27" w:type="dxa"/>
          <w:left w:w="72" w:type="dxa"/>
          <w:bottom w:w="4" w:type="dxa"/>
          <w:right w:w="21" w:type="dxa"/>
        </w:tblCellMar>
        <w:tblLook w:val="04A0" w:firstRow="1" w:lastRow="0" w:firstColumn="1" w:lastColumn="0" w:noHBand="0" w:noVBand="1"/>
      </w:tblPr>
      <w:tblGrid>
        <w:gridCol w:w="593"/>
        <w:gridCol w:w="1478"/>
        <w:gridCol w:w="542"/>
        <w:gridCol w:w="9006"/>
      </w:tblGrid>
      <w:tr w:rsidR="00774BA2" w14:paraId="7FE38D62" w14:textId="77777777" w:rsidTr="00774BA2">
        <w:trPr>
          <w:trHeight w:val="491"/>
          <w:jc w:val="center"/>
        </w:trPr>
        <w:tc>
          <w:tcPr>
            <w:tcW w:w="593" w:type="dxa"/>
            <w:tcBorders>
              <w:top w:val="single" w:sz="4" w:space="0" w:color="000000"/>
              <w:left w:val="single" w:sz="4" w:space="0" w:color="000000"/>
              <w:bottom w:val="single" w:sz="8" w:space="0" w:color="000000"/>
              <w:right w:val="single" w:sz="4" w:space="0" w:color="000000"/>
            </w:tcBorders>
            <w:shd w:val="clear" w:color="auto" w:fill="D9D9D9"/>
            <w:vAlign w:val="bottom"/>
          </w:tcPr>
          <w:p w14:paraId="153C6D59" w14:textId="77777777" w:rsidR="00774BA2" w:rsidRDefault="00774BA2" w:rsidP="000F07C8">
            <w:pPr>
              <w:spacing w:line="259" w:lineRule="auto"/>
              <w:ind w:left="40"/>
            </w:pPr>
            <w:bookmarkStart w:id="0" w:name="_Hlk179671385"/>
            <w:r>
              <w:rPr>
                <w:rFonts w:ascii="Arial" w:eastAsia="Arial" w:hAnsi="Arial" w:cs="Arial"/>
                <w:b/>
                <w:sz w:val="16"/>
              </w:rPr>
              <w:t xml:space="preserve">lp. </w:t>
            </w:r>
          </w:p>
        </w:tc>
        <w:tc>
          <w:tcPr>
            <w:tcW w:w="1478" w:type="dxa"/>
            <w:tcBorders>
              <w:top w:val="single" w:sz="4" w:space="0" w:color="000000"/>
              <w:left w:val="single" w:sz="4" w:space="0" w:color="000000"/>
              <w:bottom w:val="single" w:sz="8" w:space="0" w:color="000000"/>
              <w:right w:val="single" w:sz="4" w:space="0" w:color="000000"/>
            </w:tcBorders>
            <w:shd w:val="clear" w:color="auto" w:fill="D9D9D9"/>
            <w:vAlign w:val="bottom"/>
          </w:tcPr>
          <w:p w14:paraId="4A3BA13C" w14:textId="77777777" w:rsidR="00774BA2" w:rsidRDefault="00774BA2" w:rsidP="000F07C8">
            <w:pPr>
              <w:spacing w:line="259" w:lineRule="auto"/>
              <w:ind w:right="48"/>
              <w:jc w:val="center"/>
            </w:pPr>
            <w:r>
              <w:rPr>
                <w:rFonts w:ascii="Arial" w:eastAsia="Arial" w:hAnsi="Arial" w:cs="Arial"/>
                <w:b/>
                <w:sz w:val="16"/>
              </w:rPr>
              <w:t xml:space="preserve">nazwa </w:t>
            </w:r>
          </w:p>
        </w:tc>
        <w:tc>
          <w:tcPr>
            <w:tcW w:w="542" w:type="dxa"/>
            <w:tcBorders>
              <w:top w:val="single" w:sz="4" w:space="0" w:color="000000"/>
              <w:left w:val="single" w:sz="4" w:space="0" w:color="000000"/>
              <w:bottom w:val="single" w:sz="8" w:space="0" w:color="000000"/>
              <w:right w:val="single" w:sz="4" w:space="0" w:color="000000"/>
            </w:tcBorders>
            <w:shd w:val="clear" w:color="auto" w:fill="D9D9D9"/>
            <w:vAlign w:val="bottom"/>
          </w:tcPr>
          <w:p w14:paraId="6CA55396" w14:textId="77777777" w:rsidR="00774BA2" w:rsidRDefault="00774BA2" w:rsidP="000F07C8">
            <w:pPr>
              <w:spacing w:line="259" w:lineRule="auto"/>
              <w:ind w:left="29"/>
            </w:pPr>
            <w:r>
              <w:rPr>
                <w:rFonts w:ascii="Arial" w:eastAsia="Arial" w:hAnsi="Arial" w:cs="Arial"/>
                <w:b/>
                <w:sz w:val="16"/>
              </w:rPr>
              <w:t xml:space="preserve">ilość </w:t>
            </w:r>
          </w:p>
        </w:tc>
        <w:tc>
          <w:tcPr>
            <w:tcW w:w="9006" w:type="dxa"/>
            <w:tcBorders>
              <w:top w:val="single" w:sz="4" w:space="0" w:color="000000"/>
              <w:left w:val="single" w:sz="4" w:space="0" w:color="000000"/>
              <w:bottom w:val="single" w:sz="8" w:space="0" w:color="000000"/>
              <w:right w:val="single" w:sz="4" w:space="0" w:color="000000"/>
            </w:tcBorders>
            <w:shd w:val="clear" w:color="auto" w:fill="D9D9D9"/>
            <w:vAlign w:val="bottom"/>
          </w:tcPr>
          <w:p w14:paraId="1D8484B3" w14:textId="77777777" w:rsidR="00774BA2" w:rsidRDefault="00774BA2" w:rsidP="000F07C8">
            <w:pPr>
              <w:spacing w:line="259" w:lineRule="auto"/>
              <w:ind w:right="45"/>
              <w:jc w:val="center"/>
            </w:pPr>
            <w:r>
              <w:rPr>
                <w:rFonts w:ascii="Arial" w:eastAsia="Arial" w:hAnsi="Arial" w:cs="Arial"/>
                <w:b/>
                <w:sz w:val="16"/>
              </w:rPr>
              <w:t xml:space="preserve">opis pozycji </w:t>
            </w:r>
          </w:p>
        </w:tc>
      </w:tr>
      <w:tr w:rsidR="00774BA2" w14:paraId="20DB9743" w14:textId="77777777" w:rsidTr="00774BA2">
        <w:trPr>
          <w:trHeight w:val="569"/>
          <w:jc w:val="center"/>
        </w:trPr>
        <w:tc>
          <w:tcPr>
            <w:tcW w:w="593" w:type="dxa"/>
            <w:tcBorders>
              <w:top w:val="single" w:sz="8" w:space="0" w:color="000000"/>
              <w:left w:val="single" w:sz="4" w:space="0" w:color="000000"/>
              <w:bottom w:val="single" w:sz="4" w:space="0" w:color="000000"/>
              <w:right w:val="single" w:sz="4" w:space="0" w:color="000000"/>
            </w:tcBorders>
            <w:vAlign w:val="center"/>
          </w:tcPr>
          <w:p w14:paraId="57B3D7F2" w14:textId="77777777" w:rsidR="00774BA2" w:rsidRDefault="00774BA2" w:rsidP="000F07C8">
            <w:pPr>
              <w:spacing w:line="259" w:lineRule="auto"/>
              <w:ind w:right="52"/>
              <w:jc w:val="center"/>
            </w:pPr>
            <w:r>
              <w:rPr>
                <w:rFonts w:ascii="Arial" w:eastAsia="Arial" w:hAnsi="Arial" w:cs="Arial"/>
                <w:sz w:val="16"/>
              </w:rPr>
              <w:t xml:space="preserve">A </w:t>
            </w:r>
          </w:p>
        </w:tc>
        <w:tc>
          <w:tcPr>
            <w:tcW w:w="1478" w:type="dxa"/>
            <w:tcBorders>
              <w:top w:val="single" w:sz="8" w:space="0" w:color="000000"/>
              <w:left w:val="single" w:sz="4" w:space="0" w:color="000000"/>
              <w:bottom w:val="single" w:sz="4" w:space="0" w:color="000000"/>
              <w:right w:val="single" w:sz="4" w:space="0" w:color="000000"/>
            </w:tcBorders>
          </w:tcPr>
          <w:p w14:paraId="297035C2" w14:textId="77777777" w:rsidR="00774BA2" w:rsidRDefault="00774BA2" w:rsidP="000F07C8">
            <w:pPr>
              <w:spacing w:line="259" w:lineRule="auto"/>
              <w:jc w:val="center"/>
            </w:pPr>
            <w:r>
              <w:rPr>
                <w:rFonts w:ascii="Arial" w:eastAsia="Arial" w:hAnsi="Arial" w:cs="Arial"/>
                <w:sz w:val="16"/>
              </w:rPr>
              <w:t xml:space="preserve">Przełącznice wyposażone kompletne </w:t>
            </w:r>
          </w:p>
        </w:tc>
        <w:tc>
          <w:tcPr>
            <w:tcW w:w="542" w:type="dxa"/>
            <w:tcBorders>
              <w:top w:val="single" w:sz="8" w:space="0" w:color="000000"/>
              <w:left w:val="single" w:sz="4" w:space="0" w:color="000000"/>
              <w:bottom w:val="single" w:sz="4" w:space="0" w:color="000000"/>
              <w:right w:val="single" w:sz="4" w:space="0" w:color="000000"/>
            </w:tcBorders>
          </w:tcPr>
          <w:p w14:paraId="50CB1AF5" w14:textId="77777777" w:rsidR="00774BA2" w:rsidRDefault="00774BA2" w:rsidP="000F07C8">
            <w:pPr>
              <w:spacing w:line="259" w:lineRule="auto"/>
              <w:ind w:right="52"/>
              <w:jc w:val="center"/>
            </w:pPr>
            <w:r>
              <w:rPr>
                <w:rFonts w:ascii="Arial" w:eastAsia="Arial" w:hAnsi="Arial" w:cs="Arial"/>
                <w:sz w:val="16"/>
              </w:rPr>
              <w:t xml:space="preserve">1 </w:t>
            </w:r>
          </w:p>
        </w:tc>
        <w:tc>
          <w:tcPr>
            <w:tcW w:w="9006" w:type="dxa"/>
            <w:tcBorders>
              <w:top w:val="single" w:sz="8" w:space="0" w:color="000000"/>
              <w:left w:val="single" w:sz="4" w:space="0" w:color="000000"/>
              <w:bottom w:val="single" w:sz="4" w:space="0" w:color="000000"/>
              <w:right w:val="single" w:sz="4" w:space="0" w:color="000000"/>
            </w:tcBorders>
          </w:tcPr>
          <w:p w14:paraId="1AD60DC9" w14:textId="77777777" w:rsidR="00774BA2" w:rsidRDefault="00774BA2" w:rsidP="000F07C8">
            <w:pPr>
              <w:spacing w:line="259" w:lineRule="auto"/>
              <w:ind w:right="42"/>
            </w:pPr>
            <w:r>
              <w:rPr>
                <w:rFonts w:ascii="Microsoft Sans Serif" w:eastAsia="Microsoft Sans Serif" w:hAnsi="Microsoft Sans Serif" w:cs="Microsoft Sans Serif"/>
                <w:sz w:val="16"/>
              </w:rPr>
              <w:t xml:space="preserve">Liczba portów pod adaptery: 24, obsługa adapterów: </w:t>
            </w:r>
            <w:r w:rsidRPr="007E21C6">
              <w:rPr>
                <w:rFonts w:ascii="Microsoft Sans Serif" w:eastAsia="Microsoft Sans Serif" w:hAnsi="Microsoft Sans Serif" w:cs="Microsoft Sans Serif"/>
                <w:sz w:val="16"/>
              </w:rPr>
              <w:t>port optyczny</w:t>
            </w:r>
            <w:r>
              <w:rPr>
                <w:rFonts w:ascii="Microsoft Sans Serif" w:eastAsia="Microsoft Sans Serif" w:hAnsi="Microsoft Sans Serif" w:cs="Microsoft Sans Serif"/>
                <w:sz w:val="16"/>
              </w:rPr>
              <w:t>, w zestawie 2 tacki światłowodowe - do 48 spawów (60mm) / do 24 spawów (45mm), elementy mocujące dla przewodu optycznego oraz dla pręta FRP</w:t>
            </w:r>
            <w:r>
              <w:rPr>
                <w:rFonts w:ascii="Arial" w:eastAsia="Arial" w:hAnsi="Arial" w:cs="Arial"/>
                <w:sz w:val="16"/>
              </w:rPr>
              <w:t xml:space="preserve"> </w:t>
            </w:r>
          </w:p>
        </w:tc>
      </w:tr>
      <w:tr w:rsidR="00774BA2" w14:paraId="5B351639" w14:textId="77777777" w:rsidTr="00774BA2">
        <w:trPr>
          <w:trHeight w:val="3278"/>
          <w:jc w:val="center"/>
        </w:trPr>
        <w:tc>
          <w:tcPr>
            <w:tcW w:w="593" w:type="dxa"/>
            <w:tcBorders>
              <w:top w:val="single" w:sz="4" w:space="0" w:color="000000"/>
              <w:left w:val="single" w:sz="4" w:space="0" w:color="000000"/>
              <w:bottom w:val="single" w:sz="4" w:space="0" w:color="000000"/>
              <w:right w:val="single" w:sz="4" w:space="0" w:color="000000"/>
            </w:tcBorders>
            <w:vAlign w:val="center"/>
          </w:tcPr>
          <w:p w14:paraId="2346A482" w14:textId="77777777" w:rsidR="00774BA2" w:rsidRDefault="00774BA2" w:rsidP="000F07C8">
            <w:pPr>
              <w:spacing w:line="259" w:lineRule="auto"/>
              <w:ind w:right="52"/>
              <w:jc w:val="center"/>
            </w:pPr>
            <w:r>
              <w:rPr>
                <w:rFonts w:ascii="Arial" w:eastAsia="Arial" w:hAnsi="Arial" w:cs="Arial"/>
                <w:sz w:val="16"/>
              </w:rPr>
              <w:t xml:space="preserve">B </w:t>
            </w:r>
          </w:p>
        </w:tc>
        <w:tc>
          <w:tcPr>
            <w:tcW w:w="1478" w:type="dxa"/>
            <w:tcBorders>
              <w:top w:val="single" w:sz="4" w:space="0" w:color="000000"/>
              <w:left w:val="single" w:sz="4" w:space="0" w:color="000000"/>
              <w:bottom w:val="single" w:sz="4" w:space="0" w:color="000000"/>
              <w:right w:val="single" w:sz="4" w:space="0" w:color="000000"/>
            </w:tcBorders>
          </w:tcPr>
          <w:p w14:paraId="6821C76C" w14:textId="77777777" w:rsidR="00774BA2" w:rsidRDefault="00774BA2" w:rsidP="000F07C8">
            <w:pPr>
              <w:jc w:val="center"/>
            </w:pPr>
            <w:r>
              <w:rPr>
                <w:rFonts w:ascii="Arial" w:eastAsia="Arial" w:hAnsi="Arial" w:cs="Arial"/>
                <w:sz w:val="16"/>
              </w:rPr>
              <w:t xml:space="preserve">Elementy instalacyjne w </w:t>
            </w:r>
          </w:p>
          <w:p w14:paraId="72EC5CEA" w14:textId="77777777" w:rsidR="00774BA2" w:rsidRDefault="00774BA2" w:rsidP="000F07C8">
            <w:pPr>
              <w:spacing w:line="259" w:lineRule="auto"/>
              <w:jc w:val="center"/>
            </w:pPr>
            <w:r>
              <w:rPr>
                <w:rFonts w:ascii="Arial" w:eastAsia="Arial" w:hAnsi="Arial" w:cs="Arial"/>
                <w:sz w:val="16"/>
              </w:rPr>
              <w:t xml:space="preserve">szafie RACK (rurki, peszle, uchwyty) </w:t>
            </w:r>
          </w:p>
        </w:tc>
        <w:tc>
          <w:tcPr>
            <w:tcW w:w="542" w:type="dxa"/>
            <w:tcBorders>
              <w:top w:val="single" w:sz="4" w:space="0" w:color="000000"/>
              <w:left w:val="single" w:sz="4" w:space="0" w:color="000000"/>
              <w:bottom w:val="single" w:sz="4" w:space="0" w:color="000000"/>
              <w:right w:val="single" w:sz="4" w:space="0" w:color="000000"/>
            </w:tcBorders>
          </w:tcPr>
          <w:p w14:paraId="70B55F50" w14:textId="77777777" w:rsidR="00774BA2" w:rsidRDefault="00774BA2" w:rsidP="000F07C8">
            <w:pPr>
              <w:spacing w:line="259" w:lineRule="auto"/>
              <w:ind w:right="52"/>
              <w:jc w:val="center"/>
            </w:pPr>
            <w:r>
              <w:rPr>
                <w:rFonts w:ascii="Arial" w:eastAsia="Arial" w:hAnsi="Arial" w:cs="Arial"/>
                <w:sz w:val="16"/>
              </w:rPr>
              <w:t xml:space="preserve">1 </w:t>
            </w:r>
          </w:p>
        </w:tc>
        <w:tc>
          <w:tcPr>
            <w:tcW w:w="9006" w:type="dxa"/>
            <w:tcBorders>
              <w:top w:val="single" w:sz="4" w:space="0" w:color="000000"/>
              <w:left w:val="single" w:sz="4" w:space="0" w:color="000000"/>
              <w:bottom w:val="single" w:sz="4" w:space="0" w:color="000000"/>
              <w:right w:val="single" w:sz="4" w:space="0" w:color="000000"/>
            </w:tcBorders>
          </w:tcPr>
          <w:p w14:paraId="791665E3" w14:textId="77777777" w:rsidR="00774BA2" w:rsidRPr="00BB3F14" w:rsidRDefault="00774BA2" w:rsidP="000F07C8">
            <w:pPr>
              <w:adjustRightInd w:val="0"/>
              <w:rPr>
                <w:rFonts w:ascii="Arial Nova" w:eastAsia="Calibri" w:hAnsi="Arial Nova" w:cs="Arial"/>
                <w:sz w:val="18"/>
                <w:szCs w:val="18"/>
              </w:rPr>
            </w:pPr>
            <w:r w:rsidRPr="00BB3F14">
              <w:rPr>
                <w:rFonts w:ascii="Arial Nova" w:eastAsia="Calibri" w:hAnsi="Arial Nova" w:cs="Arial"/>
                <w:sz w:val="18"/>
                <w:szCs w:val="18"/>
              </w:rPr>
              <w:t xml:space="preserve">3 x </w:t>
            </w:r>
            <w:proofErr w:type="spellStart"/>
            <w:r w:rsidRPr="00BB3F14">
              <w:rPr>
                <w:rFonts w:ascii="Arial Nova" w:eastAsia="Calibri" w:hAnsi="Arial Nova" w:cs="Arial"/>
                <w:sz w:val="18"/>
                <w:szCs w:val="18"/>
              </w:rPr>
              <w:t>Patch</w:t>
            </w:r>
            <w:proofErr w:type="spellEnd"/>
            <w:r w:rsidRPr="00BB3F14">
              <w:rPr>
                <w:rFonts w:ascii="Arial Nova" w:eastAsia="Calibri" w:hAnsi="Arial Nova" w:cs="Arial"/>
                <w:sz w:val="18"/>
                <w:szCs w:val="18"/>
              </w:rPr>
              <w:t xml:space="preserve"> panel 19" 24 porty, kat.6, U/UTP, 1U, </w:t>
            </w:r>
          </w:p>
          <w:p w14:paraId="6B4FAFF8" w14:textId="77777777" w:rsidR="00774BA2" w:rsidRPr="00BB3F14" w:rsidRDefault="00774BA2" w:rsidP="000F07C8">
            <w:pPr>
              <w:adjustRightInd w:val="0"/>
              <w:spacing w:after="1"/>
              <w:rPr>
                <w:rFonts w:ascii="Arial Nova" w:eastAsia="Calibri" w:hAnsi="Arial Nova" w:cs="Arial"/>
                <w:sz w:val="18"/>
                <w:szCs w:val="18"/>
              </w:rPr>
            </w:pPr>
            <w:r w:rsidRPr="00BB3F14">
              <w:rPr>
                <w:rFonts w:ascii="Arial Nova" w:eastAsia="Calibri" w:hAnsi="Arial Nova" w:cs="Arial"/>
                <w:sz w:val="18"/>
                <w:szCs w:val="18"/>
              </w:rPr>
              <w:t xml:space="preserve">2 x Listwa zasilająca </w:t>
            </w:r>
            <w:proofErr w:type="spellStart"/>
            <w:r w:rsidRPr="00BB3F14">
              <w:rPr>
                <w:rFonts w:ascii="Arial Nova" w:eastAsia="Calibri" w:hAnsi="Arial Nova" w:cs="Arial"/>
                <w:sz w:val="18"/>
                <w:szCs w:val="18"/>
              </w:rPr>
              <w:t>rack</w:t>
            </w:r>
            <w:proofErr w:type="spellEnd"/>
            <w:r w:rsidRPr="00BB3F14">
              <w:rPr>
                <w:rFonts w:ascii="Arial Nova" w:eastAsia="Calibri" w:hAnsi="Arial Nova" w:cs="Arial"/>
                <w:sz w:val="18"/>
                <w:szCs w:val="18"/>
              </w:rPr>
              <w:t xml:space="preserve"> PDU 19 cali 1U, Switch 24xGE 4xSFP (Platforma zapewnia dostęp do bezobsługowej konfiguracji ZTP*, centralnego zarządzania w chmurze oraz inteligentnego monitoringu. Scentralizowane zarządzanie: Zarządzanie jest niezwykle wygodne dzięki dostępowi z chmury oraz łatwej w użytkowaniu na platformie zarządzania chmurowego. Statyczny Routing: Umożliwia kierowanie ruchem sieciowych dla efektywnego wykorzystania zasobów sieciowych. </w:t>
            </w:r>
            <w:proofErr w:type="spellStart"/>
            <w:r w:rsidRPr="007F115F">
              <w:rPr>
                <w:rFonts w:ascii="Arial Nova" w:eastAsia="Calibri" w:hAnsi="Arial Nova" w:cs="Arial"/>
                <w:sz w:val="18"/>
                <w:szCs w:val="18"/>
                <w:lang w:val="en-US"/>
              </w:rPr>
              <w:t>Silne</w:t>
            </w:r>
            <w:proofErr w:type="spellEnd"/>
            <w:r w:rsidRPr="007F115F">
              <w:rPr>
                <w:rFonts w:ascii="Arial Nova" w:eastAsia="Calibri" w:hAnsi="Arial Nova" w:cs="Arial"/>
                <w:sz w:val="18"/>
                <w:szCs w:val="18"/>
                <w:lang w:val="en-US"/>
              </w:rPr>
              <w:t xml:space="preserve"> </w:t>
            </w:r>
            <w:proofErr w:type="spellStart"/>
            <w:r w:rsidRPr="007F115F">
              <w:rPr>
                <w:rFonts w:ascii="Arial Nova" w:eastAsia="Calibri" w:hAnsi="Arial Nova" w:cs="Arial"/>
                <w:sz w:val="18"/>
                <w:szCs w:val="18"/>
                <w:lang w:val="en-US"/>
              </w:rPr>
              <w:t>strategie</w:t>
            </w:r>
            <w:proofErr w:type="spellEnd"/>
            <w:r w:rsidRPr="007F115F">
              <w:rPr>
                <w:rFonts w:ascii="Arial Nova" w:eastAsia="Calibri" w:hAnsi="Arial Nova" w:cs="Arial"/>
                <w:sz w:val="18"/>
                <w:szCs w:val="18"/>
                <w:lang w:val="en-US"/>
              </w:rPr>
              <w:t xml:space="preserve"> </w:t>
            </w:r>
            <w:proofErr w:type="spellStart"/>
            <w:r w:rsidRPr="007F115F">
              <w:rPr>
                <w:rFonts w:ascii="Arial Nova" w:eastAsia="Calibri" w:hAnsi="Arial Nova" w:cs="Arial"/>
                <w:sz w:val="18"/>
                <w:szCs w:val="18"/>
                <w:lang w:val="en-US"/>
              </w:rPr>
              <w:t>zabezpieczeń</w:t>
            </w:r>
            <w:proofErr w:type="spellEnd"/>
            <w:r w:rsidRPr="007F115F">
              <w:rPr>
                <w:rFonts w:ascii="Arial Nova" w:eastAsia="Calibri" w:hAnsi="Arial Nova" w:cs="Arial"/>
                <w:sz w:val="18"/>
                <w:szCs w:val="18"/>
                <w:lang w:val="en-US"/>
              </w:rPr>
              <w:t xml:space="preserve">: IP-MAC-Port Binding, ACL, Port Security, DoS Defend, Storm control, DHCP Snooping, 802.1X, Radius Authentication </w:t>
            </w:r>
            <w:proofErr w:type="spellStart"/>
            <w:r w:rsidRPr="007F115F">
              <w:rPr>
                <w:rFonts w:ascii="Arial Nova" w:eastAsia="Calibri" w:hAnsi="Arial Nova" w:cs="Arial"/>
                <w:sz w:val="18"/>
                <w:szCs w:val="18"/>
                <w:lang w:val="en-US"/>
              </w:rPr>
              <w:t>i</w:t>
            </w:r>
            <w:proofErr w:type="spellEnd"/>
            <w:r w:rsidRPr="007F115F">
              <w:rPr>
                <w:rFonts w:ascii="Arial Nova" w:eastAsia="Calibri" w:hAnsi="Arial Nova" w:cs="Arial"/>
                <w:sz w:val="18"/>
                <w:szCs w:val="18"/>
                <w:lang w:val="en-US"/>
              </w:rPr>
              <w:t xml:space="preserve"> </w:t>
            </w:r>
            <w:proofErr w:type="spellStart"/>
            <w:r w:rsidRPr="007F115F">
              <w:rPr>
                <w:rFonts w:ascii="Arial Nova" w:eastAsia="Calibri" w:hAnsi="Arial Nova" w:cs="Arial"/>
                <w:sz w:val="18"/>
                <w:szCs w:val="18"/>
                <w:lang w:val="en-US"/>
              </w:rPr>
              <w:t>wiele</w:t>
            </w:r>
            <w:proofErr w:type="spellEnd"/>
            <w:r w:rsidRPr="007F115F">
              <w:rPr>
                <w:rFonts w:ascii="Arial Nova" w:eastAsia="Calibri" w:hAnsi="Arial Nova" w:cs="Arial"/>
                <w:sz w:val="18"/>
                <w:szCs w:val="18"/>
                <w:lang w:val="en-US"/>
              </w:rPr>
              <w:t xml:space="preserve"> </w:t>
            </w:r>
            <w:proofErr w:type="spellStart"/>
            <w:r w:rsidRPr="007F115F">
              <w:rPr>
                <w:rFonts w:ascii="Arial Nova" w:eastAsia="Calibri" w:hAnsi="Arial Nova" w:cs="Arial"/>
                <w:sz w:val="18"/>
                <w:szCs w:val="18"/>
                <w:lang w:val="en-US"/>
              </w:rPr>
              <w:t>innych</w:t>
            </w:r>
            <w:proofErr w:type="spellEnd"/>
            <w:r w:rsidRPr="007F115F">
              <w:rPr>
                <w:rFonts w:ascii="Arial Nova" w:eastAsia="Calibri" w:hAnsi="Arial Nova" w:cs="Arial"/>
                <w:sz w:val="18"/>
                <w:szCs w:val="18"/>
                <w:lang w:val="en-US"/>
              </w:rPr>
              <w:t xml:space="preserve">. </w:t>
            </w:r>
            <w:r w:rsidRPr="00BB3F14">
              <w:rPr>
                <w:rFonts w:ascii="Arial Nova" w:eastAsia="Calibri" w:hAnsi="Arial Nova" w:cs="Arial"/>
                <w:sz w:val="18"/>
                <w:szCs w:val="18"/>
              </w:rPr>
              <w:t xml:space="preserve">Optymalizacja aplikacji Głosowych i Wideo: L2/L3/L4 </w:t>
            </w:r>
            <w:proofErr w:type="spellStart"/>
            <w:r w:rsidRPr="00BB3F14">
              <w:rPr>
                <w:rFonts w:ascii="Arial Nova" w:eastAsia="Calibri" w:hAnsi="Arial Nova" w:cs="Arial"/>
                <w:sz w:val="18"/>
                <w:szCs w:val="18"/>
              </w:rPr>
              <w:t>QoS</w:t>
            </w:r>
            <w:proofErr w:type="spellEnd"/>
            <w:r w:rsidRPr="00BB3F14">
              <w:rPr>
                <w:rFonts w:ascii="Arial Nova" w:eastAsia="Calibri" w:hAnsi="Arial Nova" w:cs="Arial"/>
                <w:sz w:val="18"/>
                <w:szCs w:val="18"/>
              </w:rPr>
              <w:t xml:space="preserve"> i IGMP </w:t>
            </w:r>
            <w:proofErr w:type="spellStart"/>
            <w:r w:rsidRPr="00BB3F14">
              <w:rPr>
                <w:rFonts w:ascii="Arial Nova" w:eastAsia="Calibri" w:hAnsi="Arial Nova" w:cs="Arial"/>
                <w:sz w:val="18"/>
                <w:szCs w:val="18"/>
              </w:rPr>
              <w:t>snooping</w:t>
            </w:r>
            <w:proofErr w:type="spellEnd"/>
            <w:r w:rsidRPr="00BB3F14">
              <w:rPr>
                <w:rFonts w:ascii="Arial Nova" w:eastAsia="Calibri" w:hAnsi="Arial Nova" w:cs="Arial"/>
                <w:sz w:val="18"/>
                <w:szCs w:val="18"/>
              </w:rPr>
              <w:t xml:space="preserve">. </w:t>
            </w:r>
          </w:p>
          <w:p w14:paraId="6B1EBCB2" w14:textId="77777777" w:rsidR="00774BA2" w:rsidRPr="00BB3F14" w:rsidRDefault="00774BA2" w:rsidP="000F07C8">
            <w:pPr>
              <w:adjustRightInd w:val="0"/>
              <w:spacing w:after="34"/>
              <w:rPr>
                <w:rFonts w:ascii="Arial Nova" w:eastAsia="Calibri" w:hAnsi="Arial Nova" w:cs="Arial"/>
                <w:sz w:val="18"/>
                <w:szCs w:val="18"/>
              </w:rPr>
            </w:pPr>
            <w:r w:rsidRPr="00BB3F14">
              <w:rPr>
                <w:rFonts w:ascii="Arial Nova" w:eastAsia="Calibri" w:hAnsi="Arial Nova" w:cs="Arial"/>
                <w:sz w:val="18"/>
                <w:szCs w:val="18"/>
              </w:rPr>
              <w:t xml:space="preserve">Zarządzanie: Web, CLI (Port konsolowy, Telnet, SSH), SNMP, RMON i Dual Image dają duże możliwości zarządzania) </w:t>
            </w:r>
          </w:p>
          <w:p w14:paraId="1539DF65" w14:textId="77777777" w:rsidR="00774BA2" w:rsidRPr="00BB3F14" w:rsidRDefault="00774BA2" w:rsidP="000F07C8">
            <w:pPr>
              <w:adjustRightInd w:val="0"/>
              <w:rPr>
                <w:rFonts w:ascii="Arial Nova" w:eastAsia="Calibri" w:hAnsi="Arial Nova" w:cs="Arial"/>
                <w:sz w:val="18"/>
                <w:szCs w:val="18"/>
              </w:rPr>
            </w:pPr>
            <w:r w:rsidRPr="00BB3F14">
              <w:rPr>
                <w:rFonts w:ascii="Arial Nova" w:eastAsia="Calibri" w:hAnsi="Arial Nova" w:cs="Arial"/>
                <w:sz w:val="18"/>
                <w:szCs w:val="18"/>
              </w:rPr>
              <w:t xml:space="preserve">2 x Gniazdo abonenckie </w:t>
            </w:r>
          </w:p>
          <w:p w14:paraId="683BDA5D" w14:textId="77777777" w:rsidR="00774BA2" w:rsidRPr="00BB3F14" w:rsidRDefault="00774BA2" w:rsidP="000F07C8">
            <w:pPr>
              <w:adjustRightInd w:val="0"/>
              <w:ind w:right="42"/>
              <w:rPr>
                <w:rFonts w:ascii="Arial Nova" w:eastAsia="Calibri" w:hAnsi="Arial Nova" w:cs="Arial"/>
                <w:sz w:val="18"/>
                <w:szCs w:val="18"/>
              </w:rPr>
            </w:pPr>
            <w:r w:rsidRPr="00BB3F14">
              <w:rPr>
                <w:rFonts w:ascii="Arial Nova" w:eastAsia="Calibri" w:hAnsi="Arial Nova" w:cs="Arial"/>
                <w:sz w:val="18"/>
                <w:szCs w:val="18"/>
              </w:rPr>
              <w:t xml:space="preserve">Przełącznik </w:t>
            </w:r>
            <w:proofErr w:type="spellStart"/>
            <w:r w:rsidRPr="00BB3F14">
              <w:rPr>
                <w:rFonts w:ascii="Arial Nova" w:eastAsia="Calibri" w:hAnsi="Arial Nova" w:cs="Arial"/>
                <w:sz w:val="18"/>
                <w:szCs w:val="18"/>
              </w:rPr>
              <w:t>zarządzalny</w:t>
            </w:r>
            <w:proofErr w:type="spellEnd"/>
            <w:r w:rsidRPr="00BB3F14">
              <w:rPr>
                <w:rFonts w:ascii="Arial Nova" w:eastAsia="Calibri" w:hAnsi="Arial Nova" w:cs="Arial"/>
                <w:sz w:val="18"/>
                <w:szCs w:val="18"/>
              </w:rPr>
              <w:t xml:space="preserve"> L2+ w pełni </w:t>
            </w:r>
            <w:proofErr w:type="spellStart"/>
            <w:r w:rsidRPr="00BB3F14">
              <w:rPr>
                <w:rFonts w:ascii="Arial Nova" w:eastAsia="Calibri" w:hAnsi="Arial Nova" w:cs="Arial"/>
                <w:sz w:val="18"/>
                <w:szCs w:val="18"/>
              </w:rPr>
              <w:t>zarządzalne</w:t>
            </w:r>
            <w:proofErr w:type="spellEnd"/>
            <w:r w:rsidRPr="00BB3F14">
              <w:rPr>
                <w:rFonts w:ascii="Arial Nova" w:eastAsia="Calibri" w:hAnsi="Arial Nova" w:cs="Arial"/>
                <w:sz w:val="18"/>
                <w:szCs w:val="18"/>
              </w:rPr>
              <w:t xml:space="preserve">, co oznacza, że administratorzy sieci mogą konfigurować różne ustawienia, monitorować ruch sieciowy i zarządzać siecią zdalnie, 48 portów gigabitowych, 4 sloty SFP+ 10GE(Błyskawiczna łączność 10G: 4× 10-cio Gigabitowe sloty SFP+ zapewniają wysoką przepustowość i możliwości przełączania. Gigabitowe porty: 48 gigabitowych portów RJ45 przekładają się na stabilne połączenia o dużych prędkościach. Działanie zintegrowane z platformą zarządzania chmurowego: Bezobsługowa konfiguracja ZTP*, centralne zarządzanie w chmurze i inteligentne monitorowanie. Scentralizowane zarządzanie: Zarządzanie jest niezwykle wygodne dzięki dostępowi z chmury oraz łatwej w użytkowaniu aplikacji na </w:t>
            </w:r>
            <w:r w:rsidRPr="00BB3F14">
              <w:rPr>
                <w:rFonts w:ascii="Arial Nova" w:eastAsia="Calibri" w:hAnsi="Arial Nova" w:cs="Arial"/>
                <w:sz w:val="18"/>
                <w:szCs w:val="18"/>
              </w:rPr>
              <w:lastRenderedPageBreak/>
              <w:t xml:space="preserve">platformie zarządzania chmurowego. Statyczny Routing: Umożliwia kierowanie ruchem sieciowych dla efektywnego wykorzystania zasobów sieciowych. </w:t>
            </w:r>
            <w:proofErr w:type="spellStart"/>
            <w:r w:rsidRPr="007F115F">
              <w:rPr>
                <w:rFonts w:ascii="Arial Nova" w:eastAsia="Calibri" w:hAnsi="Arial Nova" w:cs="Arial"/>
                <w:sz w:val="18"/>
                <w:szCs w:val="18"/>
                <w:lang w:val="en-US"/>
              </w:rPr>
              <w:t>Silne</w:t>
            </w:r>
            <w:proofErr w:type="spellEnd"/>
            <w:r w:rsidRPr="007F115F">
              <w:rPr>
                <w:rFonts w:ascii="Arial Nova" w:eastAsia="Calibri" w:hAnsi="Arial Nova" w:cs="Arial"/>
                <w:sz w:val="18"/>
                <w:szCs w:val="18"/>
                <w:lang w:val="en-US"/>
              </w:rPr>
              <w:t xml:space="preserve"> </w:t>
            </w:r>
            <w:proofErr w:type="spellStart"/>
            <w:r w:rsidRPr="007F115F">
              <w:rPr>
                <w:rFonts w:ascii="Arial Nova" w:eastAsia="Calibri" w:hAnsi="Arial Nova" w:cs="Arial"/>
                <w:sz w:val="18"/>
                <w:szCs w:val="18"/>
                <w:lang w:val="en-US"/>
              </w:rPr>
              <w:t>strategie</w:t>
            </w:r>
            <w:proofErr w:type="spellEnd"/>
            <w:r w:rsidRPr="007F115F">
              <w:rPr>
                <w:rFonts w:ascii="Arial Nova" w:eastAsia="Calibri" w:hAnsi="Arial Nova" w:cs="Arial"/>
                <w:sz w:val="18"/>
                <w:szCs w:val="18"/>
                <w:lang w:val="en-US"/>
              </w:rPr>
              <w:t xml:space="preserve"> </w:t>
            </w:r>
            <w:proofErr w:type="spellStart"/>
            <w:r w:rsidRPr="007F115F">
              <w:rPr>
                <w:rFonts w:ascii="Arial Nova" w:eastAsia="Calibri" w:hAnsi="Arial Nova" w:cs="Arial"/>
                <w:sz w:val="18"/>
                <w:szCs w:val="18"/>
                <w:lang w:val="en-US"/>
              </w:rPr>
              <w:t>zabezpieczeń</w:t>
            </w:r>
            <w:proofErr w:type="spellEnd"/>
            <w:r w:rsidRPr="007F115F">
              <w:rPr>
                <w:rFonts w:ascii="Arial Nova" w:eastAsia="Calibri" w:hAnsi="Arial Nova" w:cs="Arial"/>
                <w:sz w:val="18"/>
                <w:szCs w:val="18"/>
                <w:lang w:val="en-US"/>
              </w:rPr>
              <w:t xml:space="preserve">: IPMAC-Port Binding, ACL, Port Security, DoS Defend, Storm control, DHCP Snooping, 802.1X, Radius Authentication. </w:t>
            </w:r>
            <w:r w:rsidRPr="00BB3F14">
              <w:rPr>
                <w:rFonts w:ascii="Arial Nova" w:eastAsia="Calibri" w:hAnsi="Arial Nova" w:cs="Arial"/>
                <w:sz w:val="18"/>
                <w:szCs w:val="18"/>
              </w:rPr>
              <w:t xml:space="preserve">Optymalizacja aplikacji Głosowych i Wideo: L2/L3/L4 </w:t>
            </w:r>
            <w:proofErr w:type="spellStart"/>
            <w:r w:rsidRPr="00BB3F14">
              <w:rPr>
                <w:rFonts w:ascii="Arial Nova" w:eastAsia="Calibri" w:hAnsi="Arial Nova" w:cs="Arial"/>
                <w:sz w:val="18"/>
                <w:szCs w:val="18"/>
              </w:rPr>
              <w:t>QoS</w:t>
            </w:r>
            <w:proofErr w:type="spellEnd"/>
            <w:r w:rsidRPr="00BB3F14">
              <w:rPr>
                <w:rFonts w:ascii="Arial Nova" w:eastAsia="Calibri" w:hAnsi="Arial Nova" w:cs="Arial"/>
                <w:sz w:val="18"/>
                <w:szCs w:val="18"/>
              </w:rPr>
              <w:t xml:space="preserve"> i IGMP </w:t>
            </w:r>
            <w:proofErr w:type="spellStart"/>
            <w:r w:rsidRPr="00BB3F14">
              <w:rPr>
                <w:rFonts w:ascii="Arial Nova" w:eastAsia="Calibri" w:hAnsi="Arial Nova" w:cs="Arial"/>
                <w:sz w:val="18"/>
                <w:szCs w:val="18"/>
              </w:rPr>
              <w:t>Snooping</w:t>
            </w:r>
            <w:proofErr w:type="spellEnd"/>
            <w:r w:rsidRPr="00BB3F14">
              <w:rPr>
                <w:rFonts w:ascii="Arial Nova" w:eastAsia="Calibri" w:hAnsi="Arial Nova" w:cs="Arial"/>
                <w:sz w:val="18"/>
                <w:szCs w:val="18"/>
              </w:rPr>
              <w:t xml:space="preserve">. Zarządzanie: Web, CLI (Port konsolowy, Telnet, SSH), SNMP, RMON i Dual Image dają duże możliwości zarządzania, wyposażony w niezbędne wkładki światłowodowe). </w:t>
            </w:r>
          </w:p>
        </w:tc>
      </w:tr>
      <w:tr w:rsidR="00774BA2" w14:paraId="42C13011" w14:textId="77777777" w:rsidTr="00774BA2">
        <w:trPr>
          <w:trHeight w:val="554"/>
          <w:jc w:val="center"/>
        </w:trPr>
        <w:tc>
          <w:tcPr>
            <w:tcW w:w="593" w:type="dxa"/>
            <w:tcBorders>
              <w:top w:val="single" w:sz="4" w:space="0" w:color="000000"/>
              <w:left w:val="single" w:sz="4" w:space="0" w:color="000000"/>
              <w:bottom w:val="single" w:sz="4" w:space="0" w:color="000000"/>
              <w:right w:val="single" w:sz="4" w:space="0" w:color="000000"/>
            </w:tcBorders>
            <w:vAlign w:val="center"/>
          </w:tcPr>
          <w:p w14:paraId="1EA26CE3" w14:textId="77777777" w:rsidR="00774BA2" w:rsidRDefault="00774BA2" w:rsidP="000F07C8">
            <w:pPr>
              <w:spacing w:line="259" w:lineRule="auto"/>
              <w:ind w:right="52"/>
              <w:jc w:val="center"/>
            </w:pPr>
            <w:r>
              <w:rPr>
                <w:rFonts w:ascii="Arial" w:eastAsia="Arial" w:hAnsi="Arial" w:cs="Arial"/>
                <w:sz w:val="16"/>
              </w:rPr>
              <w:lastRenderedPageBreak/>
              <w:t>C</w:t>
            </w:r>
          </w:p>
        </w:tc>
        <w:tc>
          <w:tcPr>
            <w:tcW w:w="1478" w:type="dxa"/>
            <w:tcBorders>
              <w:top w:val="single" w:sz="4" w:space="0" w:color="000000"/>
              <w:left w:val="single" w:sz="4" w:space="0" w:color="000000"/>
              <w:bottom w:val="single" w:sz="4" w:space="0" w:color="000000"/>
              <w:right w:val="single" w:sz="4" w:space="0" w:color="000000"/>
            </w:tcBorders>
          </w:tcPr>
          <w:p w14:paraId="583814AF" w14:textId="77777777" w:rsidR="00774BA2" w:rsidRDefault="00774BA2" w:rsidP="000F07C8">
            <w:pPr>
              <w:spacing w:line="259" w:lineRule="auto"/>
              <w:jc w:val="center"/>
            </w:pPr>
            <w:r>
              <w:rPr>
                <w:rFonts w:ascii="Arial" w:eastAsia="Arial" w:hAnsi="Arial" w:cs="Arial"/>
                <w:sz w:val="16"/>
              </w:rPr>
              <w:t xml:space="preserve">Światłowód 4 włókna  </w:t>
            </w:r>
          </w:p>
        </w:tc>
        <w:tc>
          <w:tcPr>
            <w:tcW w:w="542" w:type="dxa"/>
            <w:tcBorders>
              <w:top w:val="single" w:sz="4" w:space="0" w:color="000000"/>
              <w:left w:val="single" w:sz="4" w:space="0" w:color="000000"/>
              <w:bottom w:val="single" w:sz="4" w:space="0" w:color="000000"/>
              <w:right w:val="single" w:sz="4" w:space="0" w:color="000000"/>
            </w:tcBorders>
          </w:tcPr>
          <w:p w14:paraId="7A7E5DB4" w14:textId="77777777" w:rsidR="00774BA2" w:rsidRDefault="00774BA2" w:rsidP="000F07C8">
            <w:pPr>
              <w:spacing w:line="259" w:lineRule="auto"/>
              <w:ind w:right="50"/>
              <w:jc w:val="center"/>
            </w:pPr>
            <w:r>
              <w:rPr>
                <w:rFonts w:ascii="Arial" w:eastAsia="Arial" w:hAnsi="Arial" w:cs="Arial"/>
                <w:sz w:val="16"/>
              </w:rPr>
              <w:t xml:space="preserve">60 </w:t>
            </w:r>
          </w:p>
        </w:tc>
        <w:tc>
          <w:tcPr>
            <w:tcW w:w="9006" w:type="dxa"/>
            <w:tcBorders>
              <w:top w:val="single" w:sz="4" w:space="0" w:color="000000"/>
              <w:left w:val="single" w:sz="4" w:space="0" w:color="000000"/>
              <w:bottom w:val="single" w:sz="4" w:space="0" w:color="000000"/>
              <w:right w:val="single" w:sz="4" w:space="0" w:color="000000"/>
            </w:tcBorders>
          </w:tcPr>
          <w:p w14:paraId="5CDDC451" w14:textId="77777777" w:rsidR="00774BA2" w:rsidRDefault="00774BA2" w:rsidP="000F07C8">
            <w:pPr>
              <w:spacing w:line="259" w:lineRule="auto"/>
            </w:pPr>
            <w:r>
              <w:rPr>
                <w:rFonts w:ascii="Microsoft Sans Serif" w:eastAsia="Microsoft Sans Serif" w:hAnsi="Microsoft Sans Serif" w:cs="Microsoft Sans Serif"/>
                <w:sz w:val="16"/>
              </w:rPr>
              <w:t xml:space="preserve">Włókna </w:t>
            </w:r>
            <w:proofErr w:type="spellStart"/>
            <w:r>
              <w:rPr>
                <w:rFonts w:ascii="Microsoft Sans Serif" w:eastAsia="Microsoft Sans Serif" w:hAnsi="Microsoft Sans Serif" w:cs="Microsoft Sans Serif"/>
                <w:sz w:val="16"/>
              </w:rPr>
              <w:t>jednomodowe</w:t>
            </w:r>
            <w:proofErr w:type="spellEnd"/>
            <w:r>
              <w:rPr>
                <w:rFonts w:ascii="Microsoft Sans Serif" w:eastAsia="Microsoft Sans Serif" w:hAnsi="Microsoft Sans Serif" w:cs="Microsoft Sans Serif"/>
                <w:sz w:val="16"/>
              </w:rPr>
              <w:t xml:space="preserve"> SM, 9/125 </w:t>
            </w:r>
            <w:proofErr w:type="spellStart"/>
            <w:r>
              <w:rPr>
                <w:rFonts w:ascii="Microsoft Sans Serif" w:eastAsia="Microsoft Sans Serif" w:hAnsi="Microsoft Sans Serif" w:cs="Microsoft Sans Serif"/>
                <w:sz w:val="16"/>
              </w:rPr>
              <w:t>μm</w:t>
            </w:r>
            <w:proofErr w:type="spellEnd"/>
            <w:r>
              <w:rPr>
                <w:rFonts w:ascii="Microsoft Sans Serif" w:eastAsia="Microsoft Sans Serif" w:hAnsi="Microsoft Sans Serif" w:cs="Microsoft Sans Serif"/>
                <w:sz w:val="16"/>
              </w:rPr>
              <w:t>, odporność na: promieniowanie UV, warunki atmosferyczne, zgodny z obowiązującymi normami IEC, EIA/TIA, rodzaj włókna: ITUT-G G.657A2 (promień gięcia - min. 7.5mm)</w:t>
            </w:r>
            <w:r>
              <w:rPr>
                <w:rFonts w:ascii="Arial" w:eastAsia="Arial" w:hAnsi="Arial" w:cs="Arial"/>
                <w:sz w:val="16"/>
              </w:rPr>
              <w:t xml:space="preserve"> </w:t>
            </w:r>
          </w:p>
        </w:tc>
      </w:tr>
      <w:tr w:rsidR="00774BA2" w14:paraId="44385274" w14:textId="77777777" w:rsidTr="00774BA2">
        <w:trPr>
          <w:trHeight w:val="914"/>
          <w:jc w:val="center"/>
        </w:trPr>
        <w:tc>
          <w:tcPr>
            <w:tcW w:w="593" w:type="dxa"/>
            <w:tcBorders>
              <w:top w:val="single" w:sz="4" w:space="0" w:color="000000"/>
              <w:left w:val="single" w:sz="4" w:space="0" w:color="000000"/>
              <w:bottom w:val="single" w:sz="4" w:space="0" w:color="000000"/>
              <w:right w:val="single" w:sz="4" w:space="0" w:color="000000"/>
            </w:tcBorders>
            <w:vAlign w:val="center"/>
          </w:tcPr>
          <w:p w14:paraId="085DD173" w14:textId="77777777" w:rsidR="00774BA2" w:rsidRDefault="00774BA2" w:rsidP="000F07C8">
            <w:pPr>
              <w:spacing w:line="259" w:lineRule="auto"/>
              <w:ind w:right="52"/>
              <w:jc w:val="center"/>
            </w:pPr>
            <w:r>
              <w:t>D</w:t>
            </w:r>
          </w:p>
        </w:tc>
        <w:tc>
          <w:tcPr>
            <w:tcW w:w="1478" w:type="dxa"/>
            <w:tcBorders>
              <w:top w:val="single" w:sz="4" w:space="0" w:color="000000"/>
              <w:left w:val="single" w:sz="4" w:space="0" w:color="000000"/>
              <w:bottom w:val="single" w:sz="4" w:space="0" w:color="000000"/>
              <w:right w:val="single" w:sz="4" w:space="0" w:color="000000"/>
            </w:tcBorders>
          </w:tcPr>
          <w:p w14:paraId="1238D104" w14:textId="77777777" w:rsidR="00774BA2" w:rsidRDefault="00774BA2" w:rsidP="000F07C8">
            <w:pPr>
              <w:spacing w:line="259" w:lineRule="auto"/>
              <w:jc w:val="center"/>
            </w:pPr>
            <w:r>
              <w:rPr>
                <w:rFonts w:ascii="Arial" w:eastAsia="Arial" w:hAnsi="Arial" w:cs="Arial"/>
                <w:sz w:val="16"/>
              </w:rPr>
              <w:t xml:space="preserve">Układanie światłowodu </w:t>
            </w:r>
          </w:p>
        </w:tc>
        <w:tc>
          <w:tcPr>
            <w:tcW w:w="542" w:type="dxa"/>
            <w:tcBorders>
              <w:top w:val="single" w:sz="4" w:space="0" w:color="000000"/>
              <w:left w:val="single" w:sz="4" w:space="0" w:color="000000"/>
              <w:bottom w:val="single" w:sz="4" w:space="0" w:color="000000"/>
              <w:right w:val="single" w:sz="4" w:space="0" w:color="000000"/>
            </w:tcBorders>
          </w:tcPr>
          <w:p w14:paraId="28B74EB0" w14:textId="77777777" w:rsidR="00774BA2" w:rsidRDefault="00774BA2" w:rsidP="000F07C8">
            <w:pPr>
              <w:spacing w:line="259" w:lineRule="auto"/>
              <w:ind w:right="50"/>
              <w:jc w:val="center"/>
            </w:pPr>
            <w:r>
              <w:rPr>
                <w:rFonts w:ascii="Arial" w:eastAsia="Arial" w:hAnsi="Arial" w:cs="Arial"/>
                <w:sz w:val="16"/>
              </w:rPr>
              <w:t xml:space="preserve">60 </w:t>
            </w:r>
          </w:p>
        </w:tc>
        <w:tc>
          <w:tcPr>
            <w:tcW w:w="9006" w:type="dxa"/>
            <w:tcBorders>
              <w:top w:val="single" w:sz="4" w:space="0" w:color="000000"/>
              <w:left w:val="single" w:sz="4" w:space="0" w:color="000000"/>
              <w:bottom w:val="single" w:sz="4" w:space="0" w:color="000000"/>
              <w:right w:val="single" w:sz="4" w:space="0" w:color="000000"/>
            </w:tcBorders>
          </w:tcPr>
          <w:p w14:paraId="1B526D50" w14:textId="77777777" w:rsidR="00774BA2" w:rsidRDefault="00774BA2" w:rsidP="000F07C8">
            <w:pPr>
              <w:spacing w:line="259" w:lineRule="auto"/>
              <w:ind w:right="44"/>
            </w:pPr>
            <w:r>
              <w:rPr>
                <w:rFonts w:ascii="Microsoft Sans Serif" w:eastAsia="Microsoft Sans Serif" w:hAnsi="Microsoft Sans Serif" w:cs="Microsoft Sans Serif"/>
                <w:sz w:val="16"/>
              </w:rPr>
              <w:t>Światłowód należy układać w korytku lub rurce osłonowej. Światłowód powinien być zespawany, na obu końcach, po rozłożeniu go na całej długości trasy. Kabel światłowodowy powinien być układany w całości na danym odcinku, nie wolno go łączyć za pomocą spawów. W miejscach gdzie będzie konieczność wykonania instalacji napowietrznej lub przewieszenia, należy zastosować specjalne uchwyty do instalacji napowietrznych.</w:t>
            </w:r>
            <w:r>
              <w:rPr>
                <w:rFonts w:ascii="Arial" w:eastAsia="Arial" w:hAnsi="Arial" w:cs="Arial"/>
                <w:sz w:val="16"/>
              </w:rPr>
              <w:t xml:space="preserve"> </w:t>
            </w:r>
          </w:p>
        </w:tc>
      </w:tr>
      <w:tr w:rsidR="00774BA2" w14:paraId="08CE7BA2" w14:textId="77777777" w:rsidTr="00774BA2">
        <w:trPr>
          <w:trHeight w:val="562"/>
          <w:jc w:val="center"/>
        </w:trPr>
        <w:tc>
          <w:tcPr>
            <w:tcW w:w="593" w:type="dxa"/>
            <w:tcBorders>
              <w:top w:val="single" w:sz="4" w:space="0" w:color="000000"/>
              <w:left w:val="single" w:sz="4" w:space="0" w:color="000000"/>
              <w:bottom w:val="single" w:sz="4" w:space="0" w:color="000000"/>
              <w:right w:val="single" w:sz="4" w:space="0" w:color="000000"/>
            </w:tcBorders>
            <w:vAlign w:val="center"/>
          </w:tcPr>
          <w:p w14:paraId="3FC0156A" w14:textId="77777777" w:rsidR="00774BA2" w:rsidRDefault="00774BA2" w:rsidP="000F07C8">
            <w:pPr>
              <w:spacing w:line="259" w:lineRule="auto"/>
              <w:ind w:right="52"/>
              <w:jc w:val="center"/>
            </w:pPr>
            <w:r>
              <w:t>E</w:t>
            </w:r>
          </w:p>
        </w:tc>
        <w:tc>
          <w:tcPr>
            <w:tcW w:w="1478" w:type="dxa"/>
            <w:tcBorders>
              <w:top w:val="single" w:sz="4" w:space="0" w:color="000000"/>
              <w:left w:val="single" w:sz="4" w:space="0" w:color="000000"/>
              <w:bottom w:val="single" w:sz="4" w:space="0" w:color="000000"/>
              <w:right w:val="single" w:sz="4" w:space="0" w:color="000000"/>
            </w:tcBorders>
          </w:tcPr>
          <w:p w14:paraId="47026537" w14:textId="77777777" w:rsidR="00774BA2" w:rsidRDefault="00774BA2" w:rsidP="000F07C8">
            <w:pPr>
              <w:spacing w:line="259" w:lineRule="auto"/>
              <w:jc w:val="center"/>
            </w:pPr>
            <w:r>
              <w:rPr>
                <w:rFonts w:ascii="Arial" w:eastAsia="Arial" w:hAnsi="Arial" w:cs="Arial"/>
                <w:sz w:val="16"/>
              </w:rPr>
              <w:t xml:space="preserve">Rolety antywłamaniowe z montażem </w:t>
            </w:r>
          </w:p>
        </w:tc>
        <w:tc>
          <w:tcPr>
            <w:tcW w:w="542" w:type="dxa"/>
            <w:tcBorders>
              <w:top w:val="single" w:sz="4" w:space="0" w:color="000000"/>
              <w:left w:val="single" w:sz="4" w:space="0" w:color="000000"/>
              <w:bottom w:val="single" w:sz="4" w:space="0" w:color="000000"/>
              <w:right w:val="single" w:sz="4" w:space="0" w:color="000000"/>
            </w:tcBorders>
          </w:tcPr>
          <w:p w14:paraId="41F1C36D" w14:textId="105C6129" w:rsidR="00774BA2" w:rsidRDefault="005C6FD6" w:rsidP="000F07C8">
            <w:pPr>
              <w:spacing w:line="259" w:lineRule="auto"/>
              <w:ind w:right="52"/>
              <w:jc w:val="center"/>
            </w:pPr>
            <w:r>
              <w:rPr>
                <w:rFonts w:ascii="Arial" w:eastAsia="Arial" w:hAnsi="Arial" w:cs="Arial"/>
                <w:sz w:val="16"/>
              </w:rPr>
              <w:t>6</w:t>
            </w:r>
            <w:r w:rsidR="00774BA2">
              <w:rPr>
                <w:rFonts w:ascii="Arial" w:eastAsia="Arial" w:hAnsi="Arial" w:cs="Arial"/>
                <w:sz w:val="16"/>
              </w:rPr>
              <w:t xml:space="preserve"> </w:t>
            </w:r>
          </w:p>
        </w:tc>
        <w:tc>
          <w:tcPr>
            <w:tcW w:w="9006" w:type="dxa"/>
            <w:tcBorders>
              <w:top w:val="single" w:sz="4" w:space="0" w:color="000000"/>
              <w:left w:val="single" w:sz="4" w:space="0" w:color="000000"/>
              <w:bottom w:val="single" w:sz="4" w:space="0" w:color="000000"/>
              <w:right w:val="single" w:sz="4" w:space="0" w:color="000000"/>
            </w:tcBorders>
          </w:tcPr>
          <w:p w14:paraId="2781F6B0" w14:textId="77777777" w:rsidR="005C6FD6" w:rsidRDefault="005C6FD6" w:rsidP="005C6FD6">
            <w:pPr>
              <w:spacing w:line="259" w:lineRule="auto"/>
              <w:rPr>
                <w:rFonts w:ascii="Microsoft Sans Serif" w:eastAsia="Microsoft Sans Serif" w:hAnsi="Microsoft Sans Serif" w:cs="Microsoft Sans Serif"/>
                <w:sz w:val="16"/>
              </w:rPr>
            </w:pPr>
            <w:r>
              <w:rPr>
                <w:rFonts w:ascii="Microsoft Sans Serif" w:eastAsia="Microsoft Sans Serif" w:hAnsi="Microsoft Sans Serif" w:cs="Microsoft Sans Serif"/>
                <w:sz w:val="16"/>
              </w:rPr>
              <w:t>Roleta antywłamaniowa</w:t>
            </w:r>
          </w:p>
          <w:p w14:paraId="3FE179CE" w14:textId="77777777" w:rsidR="005C6FD6" w:rsidRDefault="005C6FD6" w:rsidP="005C6FD6">
            <w:pPr>
              <w:spacing w:line="259" w:lineRule="auto"/>
              <w:rPr>
                <w:rFonts w:ascii="Microsoft Sans Serif" w:eastAsia="Microsoft Sans Serif" w:hAnsi="Microsoft Sans Serif" w:cs="Microsoft Sans Serif"/>
                <w:sz w:val="16"/>
              </w:rPr>
            </w:pPr>
            <w:r w:rsidRPr="00EC64E3">
              <w:rPr>
                <w:rFonts w:ascii="Microsoft Sans Serif" w:eastAsia="Microsoft Sans Serif" w:hAnsi="Microsoft Sans Serif" w:cs="Microsoft Sans Serif"/>
                <w:sz w:val="16"/>
              </w:rPr>
              <w:t>- montaż</w:t>
            </w:r>
            <w:r>
              <w:rPr>
                <w:rFonts w:ascii="Microsoft Sans Serif" w:eastAsia="Microsoft Sans Serif" w:hAnsi="Microsoft Sans Serif" w:cs="Microsoft Sans Serif"/>
                <w:sz w:val="16"/>
              </w:rPr>
              <w:t>,</w:t>
            </w:r>
          </w:p>
          <w:p w14:paraId="480AB2B2" w14:textId="77777777" w:rsidR="005C6FD6" w:rsidRDefault="005C6FD6" w:rsidP="005C6FD6">
            <w:pPr>
              <w:spacing w:line="259" w:lineRule="auto"/>
              <w:rPr>
                <w:rFonts w:ascii="Microsoft Sans Serif" w:eastAsia="Microsoft Sans Serif" w:hAnsi="Microsoft Sans Serif" w:cs="Microsoft Sans Serif"/>
                <w:sz w:val="16"/>
              </w:rPr>
            </w:pPr>
            <w:r>
              <w:rPr>
                <w:rFonts w:ascii="Microsoft Sans Serif" w:eastAsia="Microsoft Sans Serif" w:hAnsi="Microsoft Sans Serif" w:cs="Microsoft Sans Serif"/>
                <w:sz w:val="16"/>
              </w:rPr>
              <w:t>- doprowadzenie elektryki.</w:t>
            </w:r>
          </w:p>
          <w:p w14:paraId="5D762EDA" w14:textId="77777777" w:rsidR="005C6FD6" w:rsidRDefault="005C6FD6" w:rsidP="005C6FD6">
            <w:pPr>
              <w:spacing w:line="259" w:lineRule="auto"/>
              <w:rPr>
                <w:rFonts w:ascii="Microsoft Sans Serif" w:eastAsia="Microsoft Sans Serif" w:hAnsi="Microsoft Sans Serif" w:cs="Microsoft Sans Serif"/>
                <w:sz w:val="16"/>
              </w:rPr>
            </w:pPr>
          </w:p>
          <w:p w14:paraId="19F05962" w14:textId="77777777" w:rsidR="005C6FD6" w:rsidRDefault="005C6FD6" w:rsidP="005C6FD6">
            <w:pPr>
              <w:spacing w:line="259" w:lineRule="auto"/>
              <w:rPr>
                <w:rFonts w:ascii="Microsoft Sans Serif" w:eastAsia="Microsoft Sans Serif" w:hAnsi="Microsoft Sans Serif" w:cs="Microsoft Sans Serif"/>
                <w:sz w:val="16"/>
              </w:rPr>
            </w:pPr>
            <w:r>
              <w:rPr>
                <w:rFonts w:ascii="Microsoft Sans Serif" w:eastAsia="Microsoft Sans Serif" w:hAnsi="Microsoft Sans Serif" w:cs="Microsoft Sans Serif"/>
                <w:sz w:val="16"/>
              </w:rPr>
              <w:t>UWAGA:</w:t>
            </w:r>
          </w:p>
          <w:p w14:paraId="72E2FB45" w14:textId="34A1C591" w:rsidR="00774BA2" w:rsidRDefault="005C6FD6" w:rsidP="005C6FD6">
            <w:pPr>
              <w:spacing w:line="259" w:lineRule="auto"/>
            </w:pPr>
            <w:r w:rsidRPr="00EC64E3">
              <w:rPr>
                <w:rFonts w:ascii="Microsoft Sans Serif" w:eastAsia="Microsoft Sans Serif" w:hAnsi="Microsoft Sans Serif" w:cs="Microsoft Sans Serif"/>
                <w:sz w:val="16"/>
              </w:rPr>
              <w:t xml:space="preserve">Wymagania zostały opisane w załączniku nr 13 do SWZ - </w:t>
            </w:r>
            <w:r>
              <w:rPr>
                <w:rFonts w:ascii="Microsoft Sans Serif" w:eastAsia="Microsoft Sans Serif" w:hAnsi="Microsoft Sans Serif" w:cs="Microsoft Sans Serif"/>
                <w:sz w:val="16"/>
              </w:rPr>
              <w:t>o</w:t>
            </w:r>
            <w:r w:rsidRPr="00EC64E3">
              <w:rPr>
                <w:rFonts w:ascii="Microsoft Sans Serif" w:eastAsia="Microsoft Sans Serif" w:hAnsi="Microsoft Sans Serif" w:cs="Microsoft Sans Serif"/>
                <w:sz w:val="16"/>
              </w:rPr>
              <w:t>pis rolet</w:t>
            </w:r>
            <w:r>
              <w:rPr>
                <w:rFonts w:ascii="Microsoft Sans Serif" w:eastAsia="Microsoft Sans Serif" w:hAnsi="Microsoft Sans Serif" w:cs="Microsoft Sans Serif"/>
                <w:sz w:val="16"/>
              </w:rPr>
              <w:t xml:space="preserve"> </w:t>
            </w:r>
            <w:r w:rsidRPr="00840DEE">
              <w:rPr>
                <w:rFonts w:ascii="Microsoft Sans Serif" w:eastAsia="Microsoft Sans Serif" w:hAnsi="Microsoft Sans Serif" w:cs="Microsoft Sans Serif"/>
                <w:sz w:val="16"/>
              </w:rPr>
              <w:sym w:font="Wingdings" w:char="F0E0"/>
            </w:r>
            <w:r>
              <w:rPr>
                <w:rFonts w:ascii="Microsoft Sans Serif" w:eastAsia="Microsoft Sans Serif" w:hAnsi="Microsoft Sans Serif" w:cs="Microsoft Sans Serif"/>
                <w:sz w:val="16"/>
              </w:rPr>
              <w:t xml:space="preserve"> pozycje 1-8 odpowiadają numeracji zgodnie z załącznikiem.</w:t>
            </w:r>
          </w:p>
        </w:tc>
      </w:tr>
      <w:tr w:rsidR="00774BA2" w14:paraId="54F6A989" w14:textId="77777777" w:rsidTr="00774BA2">
        <w:trPr>
          <w:trHeight w:val="1097"/>
          <w:jc w:val="center"/>
        </w:trPr>
        <w:tc>
          <w:tcPr>
            <w:tcW w:w="593" w:type="dxa"/>
            <w:tcBorders>
              <w:top w:val="single" w:sz="4" w:space="0" w:color="000000"/>
              <w:left w:val="single" w:sz="4" w:space="0" w:color="000000"/>
              <w:bottom w:val="single" w:sz="4" w:space="0" w:color="000000"/>
              <w:right w:val="single" w:sz="4" w:space="0" w:color="000000"/>
            </w:tcBorders>
            <w:vAlign w:val="center"/>
          </w:tcPr>
          <w:p w14:paraId="7469A92D" w14:textId="77777777" w:rsidR="00774BA2" w:rsidRDefault="00774BA2" w:rsidP="000F07C8">
            <w:pPr>
              <w:spacing w:line="259" w:lineRule="auto"/>
              <w:ind w:right="52"/>
              <w:jc w:val="center"/>
            </w:pPr>
            <w:r>
              <w:rPr>
                <w:rFonts w:ascii="Arial" w:eastAsia="Arial" w:hAnsi="Arial" w:cs="Arial"/>
                <w:sz w:val="16"/>
              </w:rPr>
              <w:t xml:space="preserve">F </w:t>
            </w:r>
          </w:p>
        </w:tc>
        <w:tc>
          <w:tcPr>
            <w:tcW w:w="1478" w:type="dxa"/>
            <w:tcBorders>
              <w:top w:val="single" w:sz="4" w:space="0" w:color="000000"/>
              <w:left w:val="single" w:sz="4" w:space="0" w:color="000000"/>
              <w:bottom w:val="single" w:sz="4" w:space="0" w:color="000000"/>
              <w:right w:val="single" w:sz="4" w:space="0" w:color="000000"/>
            </w:tcBorders>
          </w:tcPr>
          <w:p w14:paraId="148C0D73" w14:textId="77777777" w:rsidR="00774BA2" w:rsidRDefault="00774BA2" w:rsidP="000F07C8">
            <w:pPr>
              <w:spacing w:line="259" w:lineRule="auto"/>
              <w:jc w:val="center"/>
            </w:pPr>
            <w:r>
              <w:rPr>
                <w:rFonts w:ascii="Arial" w:eastAsia="Arial" w:hAnsi="Arial" w:cs="Arial"/>
                <w:sz w:val="16"/>
              </w:rPr>
              <w:t xml:space="preserve">Rozdzielnia elektryczna </w:t>
            </w:r>
          </w:p>
        </w:tc>
        <w:tc>
          <w:tcPr>
            <w:tcW w:w="542" w:type="dxa"/>
            <w:tcBorders>
              <w:top w:val="single" w:sz="4" w:space="0" w:color="000000"/>
              <w:left w:val="single" w:sz="4" w:space="0" w:color="000000"/>
              <w:bottom w:val="single" w:sz="4" w:space="0" w:color="000000"/>
              <w:right w:val="single" w:sz="4" w:space="0" w:color="000000"/>
            </w:tcBorders>
          </w:tcPr>
          <w:p w14:paraId="5BECB00B" w14:textId="77777777" w:rsidR="00774BA2" w:rsidRDefault="00774BA2" w:rsidP="000F07C8">
            <w:pPr>
              <w:spacing w:line="259" w:lineRule="auto"/>
              <w:ind w:right="52"/>
              <w:jc w:val="center"/>
            </w:pPr>
            <w:r>
              <w:rPr>
                <w:rFonts w:ascii="Arial" w:eastAsia="Arial" w:hAnsi="Arial" w:cs="Arial"/>
                <w:sz w:val="16"/>
              </w:rPr>
              <w:t xml:space="preserve">1 </w:t>
            </w:r>
          </w:p>
        </w:tc>
        <w:tc>
          <w:tcPr>
            <w:tcW w:w="9006" w:type="dxa"/>
            <w:tcBorders>
              <w:top w:val="single" w:sz="4" w:space="0" w:color="000000"/>
              <w:left w:val="single" w:sz="4" w:space="0" w:color="000000"/>
              <w:bottom w:val="single" w:sz="4" w:space="0" w:color="000000"/>
              <w:right w:val="single" w:sz="4" w:space="0" w:color="000000"/>
            </w:tcBorders>
          </w:tcPr>
          <w:p w14:paraId="222A89D6" w14:textId="77777777" w:rsidR="00774BA2" w:rsidRDefault="00774BA2" w:rsidP="000F07C8">
            <w:pPr>
              <w:spacing w:line="259" w:lineRule="auto"/>
              <w:ind w:right="42"/>
            </w:pPr>
            <w:r>
              <w:rPr>
                <w:rFonts w:ascii="Microsoft Sans Serif" w:eastAsia="Microsoft Sans Serif" w:hAnsi="Microsoft Sans Serif" w:cs="Microsoft Sans Serif"/>
                <w:sz w:val="16"/>
              </w:rPr>
              <w:t>Rozdzielnica elektryczna powinna być wyposażona w niezbędną ilość pól do zapewnienia odpowiedniego bezpieczeństwa podłączonej do niej instalacji. Powinna posiadać listwy zaciskowe PN+N, obsługiwać napięcie znamieniowe 400V. Rozdzielnica powinna być wyposażona w odpowiednia ilość zabezpieczeń prądowych na dany obwód oraz powinna być zabezpieczona odpowiednim zabezpieczeniem różnicowo-prądowym. Rozdzielnica powinna być zbudowana przez osobę która posiada niezbędne uprawnienia do wykonywania tego typu prac.</w:t>
            </w:r>
            <w:r>
              <w:rPr>
                <w:rFonts w:ascii="Arial" w:eastAsia="Arial" w:hAnsi="Arial" w:cs="Arial"/>
                <w:sz w:val="16"/>
              </w:rPr>
              <w:t xml:space="preserve"> </w:t>
            </w:r>
          </w:p>
        </w:tc>
      </w:tr>
      <w:tr w:rsidR="00774BA2" w14:paraId="742449BD" w14:textId="77777777" w:rsidTr="00774BA2">
        <w:trPr>
          <w:trHeight w:val="914"/>
          <w:jc w:val="center"/>
        </w:trPr>
        <w:tc>
          <w:tcPr>
            <w:tcW w:w="593" w:type="dxa"/>
            <w:tcBorders>
              <w:top w:val="single" w:sz="4" w:space="0" w:color="000000"/>
              <w:left w:val="single" w:sz="4" w:space="0" w:color="000000"/>
              <w:bottom w:val="single" w:sz="4" w:space="0" w:color="000000"/>
              <w:right w:val="single" w:sz="4" w:space="0" w:color="000000"/>
            </w:tcBorders>
            <w:vAlign w:val="center"/>
          </w:tcPr>
          <w:p w14:paraId="15D2E1F6" w14:textId="77777777" w:rsidR="00774BA2" w:rsidRDefault="00774BA2" w:rsidP="000F07C8">
            <w:pPr>
              <w:spacing w:line="259" w:lineRule="auto"/>
              <w:ind w:right="52"/>
              <w:jc w:val="center"/>
            </w:pPr>
            <w:r>
              <w:rPr>
                <w:rFonts w:ascii="Arial" w:eastAsia="Arial" w:hAnsi="Arial" w:cs="Arial"/>
                <w:sz w:val="16"/>
              </w:rPr>
              <w:lastRenderedPageBreak/>
              <w:t xml:space="preserve">G </w:t>
            </w:r>
          </w:p>
        </w:tc>
        <w:tc>
          <w:tcPr>
            <w:tcW w:w="1478" w:type="dxa"/>
            <w:tcBorders>
              <w:top w:val="single" w:sz="4" w:space="0" w:color="000000"/>
              <w:left w:val="single" w:sz="4" w:space="0" w:color="000000"/>
              <w:bottom w:val="single" w:sz="4" w:space="0" w:color="000000"/>
              <w:right w:val="single" w:sz="4" w:space="0" w:color="000000"/>
            </w:tcBorders>
          </w:tcPr>
          <w:p w14:paraId="56335124" w14:textId="77777777" w:rsidR="00774BA2" w:rsidRDefault="00774BA2" w:rsidP="000F07C8">
            <w:pPr>
              <w:spacing w:line="259" w:lineRule="auto"/>
              <w:jc w:val="center"/>
            </w:pPr>
            <w:r>
              <w:rPr>
                <w:rFonts w:ascii="Arial" w:eastAsia="Arial" w:hAnsi="Arial" w:cs="Arial"/>
                <w:sz w:val="16"/>
              </w:rPr>
              <w:t xml:space="preserve">Instalacja elektryczna </w:t>
            </w:r>
          </w:p>
        </w:tc>
        <w:tc>
          <w:tcPr>
            <w:tcW w:w="542" w:type="dxa"/>
            <w:tcBorders>
              <w:top w:val="single" w:sz="4" w:space="0" w:color="000000"/>
              <w:left w:val="single" w:sz="4" w:space="0" w:color="000000"/>
              <w:bottom w:val="single" w:sz="4" w:space="0" w:color="000000"/>
              <w:right w:val="single" w:sz="4" w:space="0" w:color="000000"/>
            </w:tcBorders>
          </w:tcPr>
          <w:p w14:paraId="09BCA374" w14:textId="77777777" w:rsidR="00774BA2" w:rsidRDefault="00774BA2" w:rsidP="000F07C8">
            <w:pPr>
              <w:spacing w:line="259" w:lineRule="auto"/>
              <w:ind w:right="52"/>
              <w:jc w:val="center"/>
            </w:pPr>
            <w:r>
              <w:rPr>
                <w:rFonts w:ascii="Arial" w:eastAsia="Arial" w:hAnsi="Arial" w:cs="Arial"/>
                <w:sz w:val="16"/>
              </w:rPr>
              <w:t xml:space="preserve">1 </w:t>
            </w:r>
          </w:p>
        </w:tc>
        <w:tc>
          <w:tcPr>
            <w:tcW w:w="9006" w:type="dxa"/>
            <w:tcBorders>
              <w:top w:val="single" w:sz="4" w:space="0" w:color="000000"/>
              <w:left w:val="single" w:sz="4" w:space="0" w:color="000000"/>
              <w:bottom w:val="single" w:sz="4" w:space="0" w:color="000000"/>
              <w:right w:val="single" w:sz="4" w:space="0" w:color="000000"/>
            </w:tcBorders>
          </w:tcPr>
          <w:p w14:paraId="24D756A9" w14:textId="77777777" w:rsidR="00774BA2" w:rsidRDefault="00774BA2" w:rsidP="000F07C8">
            <w:pPr>
              <w:spacing w:line="259" w:lineRule="auto"/>
              <w:ind w:right="42"/>
            </w:pPr>
            <w:r>
              <w:rPr>
                <w:rFonts w:ascii="Microsoft Sans Serif" w:eastAsia="Microsoft Sans Serif" w:hAnsi="Microsoft Sans Serif" w:cs="Microsoft Sans Serif"/>
                <w:sz w:val="16"/>
              </w:rPr>
              <w:t>Instalację elektryczną należy prowadzić w korytach kablowych o szerokości i grubości dostosowanej do prowadzonej przez wykonawcę instalacji elektrycznej. Przekroje kabli oraz gniazdka powinny być dobrane przez Wykonawcę w sposób zgodny z obowiązującymi normami elektrycznymi w prawie budowlanym. Wykonawca zapewnia, że osoby wykonujące instalację elektryczną posiadają niezbędne uprawnienia.</w:t>
            </w:r>
            <w:r>
              <w:rPr>
                <w:rFonts w:ascii="Arial" w:eastAsia="Arial" w:hAnsi="Arial" w:cs="Arial"/>
                <w:sz w:val="16"/>
              </w:rPr>
              <w:t xml:space="preserve"> </w:t>
            </w:r>
          </w:p>
        </w:tc>
      </w:tr>
      <w:tr w:rsidR="00774BA2" w14:paraId="5958C8A6" w14:textId="77777777" w:rsidTr="00774BA2">
        <w:trPr>
          <w:trHeight w:val="734"/>
          <w:jc w:val="center"/>
        </w:trPr>
        <w:tc>
          <w:tcPr>
            <w:tcW w:w="593" w:type="dxa"/>
            <w:tcBorders>
              <w:top w:val="single" w:sz="4" w:space="0" w:color="000000"/>
              <w:left w:val="single" w:sz="4" w:space="0" w:color="000000"/>
              <w:bottom w:val="single" w:sz="4" w:space="0" w:color="000000"/>
              <w:right w:val="single" w:sz="4" w:space="0" w:color="000000"/>
            </w:tcBorders>
            <w:vAlign w:val="center"/>
          </w:tcPr>
          <w:p w14:paraId="2F2DC847" w14:textId="77777777" w:rsidR="00774BA2" w:rsidRDefault="00774BA2" w:rsidP="000F07C8">
            <w:pPr>
              <w:spacing w:line="259" w:lineRule="auto"/>
              <w:ind w:right="52"/>
              <w:jc w:val="center"/>
            </w:pPr>
            <w:r>
              <w:t>H</w:t>
            </w:r>
          </w:p>
        </w:tc>
        <w:tc>
          <w:tcPr>
            <w:tcW w:w="1478" w:type="dxa"/>
            <w:tcBorders>
              <w:top w:val="single" w:sz="4" w:space="0" w:color="000000"/>
              <w:left w:val="single" w:sz="4" w:space="0" w:color="000000"/>
              <w:bottom w:val="single" w:sz="4" w:space="0" w:color="000000"/>
              <w:right w:val="single" w:sz="4" w:space="0" w:color="000000"/>
            </w:tcBorders>
          </w:tcPr>
          <w:p w14:paraId="0A6925EF" w14:textId="77777777" w:rsidR="00774BA2" w:rsidRDefault="00774BA2" w:rsidP="000F07C8">
            <w:pPr>
              <w:spacing w:line="259" w:lineRule="auto"/>
              <w:jc w:val="center"/>
            </w:pPr>
            <w:r>
              <w:rPr>
                <w:rFonts w:ascii="Arial" w:eastAsia="Arial" w:hAnsi="Arial" w:cs="Arial"/>
                <w:sz w:val="16"/>
              </w:rPr>
              <w:t xml:space="preserve">Zasilenie rozdzielni </w:t>
            </w:r>
          </w:p>
        </w:tc>
        <w:tc>
          <w:tcPr>
            <w:tcW w:w="542" w:type="dxa"/>
            <w:tcBorders>
              <w:top w:val="single" w:sz="4" w:space="0" w:color="000000"/>
              <w:left w:val="single" w:sz="4" w:space="0" w:color="000000"/>
              <w:bottom w:val="single" w:sz="4" w:space="0" w:color="000000"/>
              <w:right w:val="single" w:sz="4" w:space="0" w:color="000000"/>
            </w:tcBorders>
          </w:tcPr>
          <w:p w14:paraId="7EE10901" w14:textId="77777777" w:rsidR="00774BA2" w:rsidRDefault="00774BA2" w:rsidP="000F07C8">
            <w:pPr>
              <w:spacing w:line="259" w:lineRule="auto"/>
              <w:ind w:right="52"/>
              <w:jc w:val="center"/>
            </w:pPr>
            <w:r>
              <w:rPr>
                <w:rFonts w:ascii="Arial" w:eastAsia="Arial" w:hAnsi="Arial" w:cs="Arial"/>
                <w:sz w:val="16"/>
              </w:rPr>
              <w:t xml:space="preserve">1 </w:t>
            </w:r>
          </w:p>
        </w:tc>
        <w:tc>
          <w:tcPr>
            <w:tcW w:w="9006" w:type="dxa"/>
            <w:tcBorders>
              <w:top w:val="single" w:sz="4" w:space="0" w:color="000000"/>
              <w:left w:val="single" w:sz="4" w:space="0" w:color="000000"/>
              <w:bottom w:val="single" w:sz="4" w:space="0" w:color="000000"/>
              <w:right w:val="single" w:sz="4" w:space="0" w:color="000000"/>
            </w:tcBorders>
          </w:tcPr>
          <w:p w14:paraId="1A235AA2" w14:textId="77777777" w:rsidR="00774BA2" w:rsidRDefault="00774BA2" w:rsidP="000F07C8">
            <w:pPr>
              <w:spacing w:line="259" w:lineRule="auto"/>
              <w:ind w:right="43"/>
            </w:pPr>
            <w:r>
              <w:rPr>
                <w:rFonts w:ascii="Microsoft Sans Serif" w:eastAsia="Microsoft Sans Serif" w:hAnsi="Microsoft Sans Serif" w:cs="Microsoft Sans Serif"/>
                <w:sz w:val="16"/>
              </w:rPr>
              <w:t>Wykonawca musi zapewnić prawidłowe podłączenie rozdzielni do zasilania budynku, zgodnie z normami prawa budowlanego obowiązującymi na terenie Polski. Wykonawca zapewni, że posiada niezbędne uprawnienia do tego, aby podłączyć zasilanie rozdzielni elektrycznej, przed odbiorem dostarczy schemat zasilenia.</w:t>
            </w:r>
            <w:r>
              <w:rPr>
                <w:rFonts w:ascii="Arial" w:eastAsia="Arial" w:hAnsi="Arial" w:cs="Arial"/>
                <w:sz w:val="16"/>
              </w:rPr>
              <w:t xml:space="preserve"> </w:t>
            </w:r>
          </w:p>
        </w:tc>
      </w:tr>
      <w:tr w:rsidR="00774BA2" w14:paraId="0F1DB926" w14:textId="77777777" w:rsidTr="00774BA2">
        <w:trPr>
          <w:trHeight w:val="554"/>
          <w:jc w:val="center"/>
        </w:trPr>
        <w:tc>
          <w:tcPr>
            <w:tcW w:w="593" w:type="dxa"/>
            <w:tcBorders>
              <w:top w:val="single" w:sz="4" w:space="0" w:color="000000"/>
              <w:left w:val="single" w:sz="4" w:space="0" w:color="000000"/>
              <w:bottom w:val="single" w:sz="4" w:space="0" w:color="000000"/>
              <w:right w:val="single" w:sz="4" w:space="0" w:color="000000"/>
            </w:tcBorders>
            <w:vAlign w:val="center"/>
          </w:tcPr>
          <w:p w14:paraId="3E16734D" w14:textId="77777777" w:rsidR="00774BA2" w:rsidRDefault="00774BA2" w:rsidP="000F07C8">
            <w:pPr>
              <w:spacing w:line="259" w:lineRule="auto"/>
              <w:ind w:right="52"/>
              <w:jc w:val="center"/>
            </w:pPr>
            <w:r>
              <w:rPr>
                <w:rFonts w:ascii="Arial" w:eastAsia="Arial" w:hAnsi="Arial" w:cs="Arial"/>
                <w:sz w:val="16"/>
              </w:rPr>
              <w:t>I</w:t>
            </w:r>
          </w:p>
        </w:tc>
        <w:tc>
          <w:tcPr>
            <w:tcW w:w="1478" w:type="dxa"/>
            <w:tcBorders>
              <w:top w:val="single" w:sz="4" w:space="0" w:color="000000"/>
              <w:left w:val="single" w:sz="4" w:space="0" w:color="000000"/>
              <w:bottom w:val="single" w:sz="4" w:space="0" w:color="000000"/>
              <w:right w:val="single" w:sz="4" w:space="0" w:color="000000"/>
            </w:tcBorders>
          </w:tcPr>
          <w:p w14:paraId="7E52397F" w14:textId="77777777" w:rsidR="00774BA2" w:rsidRDefault="00774BA2" w:rsidP="000F07C8">
            <w:pPr>
              <w:spacing w:line="259" w:lineRule="auto"/>
              <w:ind w:right="48"/>
              <w:jc w:val="center"/>
            </w:pPr>
            <w:r>
              <w:rPr>
                <w:rFonts w:ascii="Arial" w:eastAsia="Arial" w:hAnsi="Arial" w:cs="Arial"/>
                <w:sz w:val="16"/>
              </w:rPr>
              <w:t xml:space="preserve">Szafa Rak 42 </w:t>
            </w:r>
          </w:p>
        </w:tc>
        <w:tc>
          <w:tcPr>
            <w:tcW w:w="542" w:type="dxa"/>
            <w:tcBorders>
              <w:top w:val="single" w:sz="4" w:space="0" w:color="000000"/>
              <w:left w:val="single" w:sz="4" w:space="0" w:color="000000"/>
              <w:bottom w:val="single" w:sz="4" w:space="0" w:color="000000"/>
              <w:right w:val="single" w:sz="4" w:space="0" w:color="000000"/>
            </w:tcBorders>
          </w:tcPr>
          <w:p w14:paraId="3374A5E3" w14:textId="77777777" w:rsidR="00774BA2" w:rsidRDefault="00774BA2" w:rsidP="000F07C8">
            <w:pPr>
              <w:spacing w:line="259" w:lineRule="auto"/>
              <w:ind w:right="52"/>
              <w:jc w:val="center"/>
            </w:pPr>
            <w:r>
              <w:rPr>
                <w:rFonts w:ascii="Arial" w:eastAsia="Arial" w:hAnsi="Arial" w:cs="Arial"/>
                <w:sz w:val="16"/>
              </w:rPr>
              <w:t xml:space="preserve">1 </w:t>
            </w:r>
          </w:p>
        </w:tc>
        <w:tc>
          <w:tcPr>
            <w:tcW w:w="9006" w:type="dxa"/>
            <w:tcBorders>
              <w:top w:val="single" w:sz="4" w:space="0" w:color="000000"/>
              <w:left w:val="single" w:sz="4" w:space="0" w:color="000000"/>
              <w:bottom w:val="single" w:sz="4" w:space="0" w:color="000000"/>
              <w:right w:val="single" w:sz="4" w:space="0" w:color="000000"/>
            </w:tcBorders>
          </w:tcPr>
          <w:p w14:paraId="1D0CCCE9" w14:textId="77777777" w:rsidR="00774BA2" w:rsidRDefault="00774BA2" w:rsidP="000F07C8">
            <w:pPr>
              <w:spacing w:line="259" w:lineRule="auto"/>
              <w:ind w:right="44"/>
            </w:pPr>
            <w:r>
              <w:rPr>
                <w:rFonts w:ascii="Microsoft Sans Serif" w:eastAsia="Microsoft Sans Serif" w:hAnsi="Microsoft Sans Serif" w:cs="Microsoft Sans Serif"/>
                <w:sz w:val="16"/>
              </w:rPr>
              <w:t xml:space="preserve">Stojąca szafa </w:t>
            </w:r>
            <w:proofErr w:type="spellStart"/>
            <w:r>
              <w:rPr>
                <w:rFonts w:ascii="Microsoft Sans Serif" w:eastAsia="Microsoft Sans Serif" w:hAnsi="Microsoft Sans Serif" w:cs="Microsoft Sans Serif"/>
                <w:sz w:val="16"/>
              </w:rPr>
              <w:t>rack</w:t>
            </w:r>
            <w:proofErr w:type="spellEnd"/>
            <w:r>
              <w:rPr>
                <w:rFonts w:ascii="Microsoft Sans Serif" w:eastAsia="Microsoft Sans Serif" w:hAnsi="Microsoft Sans Serif" w:cs="Microsoft Sans Serif"/>
                <w:sz w:val="16"/>
              </w:rPr>
              <w:t xml:space="preserve"> 42U o wymiarach minimum Szafa: 600 x 600 mm. Szafa wykonana ze stali, wyposażona w przeszklone drzwi. Kolor czarny. Waga maksymalnego obciążenia około 800kg. Powinna być wyposażona w kółka.</w:t>
            </w:r>
            <w:r>
              <w:rPr>
                <w:rFonts w:ascii="Arial" w:eastAsia="Arial" w:hAnsi="Arial" w:cs="Arial"/>
                <w:sz w:val="16"/>
              </w:rPr>
              <w:t xml:space="preserve"> </w:t>
            </w:r>
          </w:p>
        </w:tc>
      </w:tr>
      <w:tr w:rsidR="00774BA2" w14:paraId="66E2BE3B" w14:textId="77777777" w:rsidTr="00774BA2">
        <w:trPr>
          <w:trHeight w:val="914"/>
          <w:jc w:val="center"/>
        </w:trPr>
        <w:tc>
          <w:tcPr>
            <w:tcW w:w="593" w:type="dxa"/>
            <w:tcBorders>
              <w:top w:val="single" w:sz="4" w:space="0" w:color="000000"/>
              <w:left w:val="single" w:sz="4" w:space="0" w:color="000000"/>
              <w:bottom w:val="single" w:sz="4" w:space="0" w:color="000000"/>
              <w:right w:val="single" w:sz="4" w:space="0" w:color="000000"/>
            </w:tcBorders>
            <w:vAlign w:val="center"/>
          </w:tcPr>
          <w:p w14:paraId="0254AA9E" w14:textId="77777777" w:rsidR="00774BA2" w:rsidRDefault="00774BA2" w:rsidP="000F07C8">
            <w:pPr>
              <w:spacing w:line="259" w:lineRule="auto"/>
              <w:ind w:left="45"/>
              <w:jc w:val="center"/>
            </w:pPr>
            <w:r>
              <w:rPr>
                <w:rFonts w:ascii="Arial" w:eastAsia="Arial" w:hAnsi="Arial" w:cs="Arial"/>
                <w:sz w:val="16"/>
              </w:rPr>
              <w:t>J</w:t>
            </w:r>
          </w:p>
        </w:tc>
        <w:tc>
          <w:tcPr>
            <w:tcW w:w="1478" w:type="dxa"/>
            <w:tcBorders>
              <w:top w:val="single" w:sz="4" w:space="0" w:color="000000"/>
              <w:left w:val="single" w:sz="4" w:space="0" w:color="000000"/>
              <w:bottom w:val="single" w:sz="4" w:space="0" w:color="000000"/>
              <w:right w:val="single" w:sz="4" w:space="0" w:color="000000"/>
            </w:tcBorders>
          </w:tcPr>
          <w:p w14:paraId="052231A4" w14:textId="77777777" w:rsidR="00774BA2" w:rsidRDefault="00774BA2" w:rsidP="000F07C8">
            <w:pPr>
              <w:spacing w:line="259" w:lineRule="auto"/>
              <w:jc w:val="center"/>
            </w:pPr>
            <w:r>
              <w:rPr>
                <w:rFonts w:ascii="Arial" w:eastAsia="Arial" w:hAnsi="Arial" w:cs="Arial"/>
                <w:sz w:val="16"/>
              </w:rPr>
              <w:t xml:space="preserve">Instalacja teletechniczna </w:t>
            </w:r>
          </w:p>
        </w:tc>
        <w:tc>
          <w:tcPr>
            <w:tcW w:w="542" w:type="dxa"/>
            <w:tcBorders>
              <w:top w:val="single" w:sz="4" w:space="0" w:color="000000"/>
              <w:left w:val="single" w:sz="4" w:space="0" w:color="000000"/>
              <w:bottom w:val="single" w:sz="4" w:space="0" w:color="000000"/>
              <w:right w:val="single" w:sz="4" w:space="0" w:color="000000"/>
            </w:tcBorders>
          </w:tcPr>
          <w:p w14:paraId="0BD70393" w14:textId="77777777" w:rsidR="00774BA2" w:rsidRDefault="00774BA2" w:rsidP="000F07C8">
            <w:pPr>
              <w:spacing w:line="259" w:lineRule="auto"/>
              <w:ind w:right="52"/>
              <w:jc w:val="center"/>
            </w:pPr>
            <w:r>
              <w:rPr>
                <w:rFonts w:ascii="Arial" w:eastAsia="Arial" w:hAnsi="Arial" w:cs="Arial"/>
                <w:sz w:val="16"/>
              </w:rPr>
              <w:t xml:space="preserve">1 </w:t>
            </w:r>
          </w:p>
        </w:tc>
        <w:tc>
          <w:tcPr>
            <w:tcW w:w="9006" w:type="dxa"/>
            <w:tcBorders>
              <w:top w:val="single" w:sz="4" w:space="0" w:color="000000"/>
              <w:left w:val="single" w:sz="4" w:space="0" w:color="000000"/>
              <w:bottom w:val="single" w:sz="4" w:space="0" w:color="000000"/>
              <w:right w:val="single" w:sz="4" w:space="0" w:color="000000"/>
            </w:tcBorders>
          </w:tcPr>
          <w:p w14:paraId="52B0E234" w14:textId="77777777" w:rsidR="00774BA2" w:rsidRDefault="00774BA2" w:rsidP="000F07C8">
            <w:pPr>
              <w:spacing w:line="259" w:lineRule="auto"/>
              <w:ind w:right="41"/>
            </w:pPr>
            <w:r>
              <w:rPr>
                <w:rFonts w:ascii="Microsoft Sans Serif" w:eastAsia="Microsoft Sans Serif" w:hAnsi="Microsoft Sans Serif" w:cs="Microsoft Sans Serif"/>
                <w:sz w:val="16"/>
              </w:rPr>
              <w:t xml:space="preserve">Instalacja teletechniczna powinna być wykonywana za pomocą kabla UTP kategorii 6, kabel powinien być wyposażony w żyły miedziane, rezystancja izolacji: 5 </w:t>
            </w:r>
            <w:proofErr w:type="spellStart"/>
            <w:r>
              <w:rPr>
                <w:rFonts w:ascii="Microsoft Sans Serif" w:eastAsia="Microsoft Sans Serif" w:hAnsi="Microsoft Sans Serif" w:cs="Microsoft Sans Serif"/>
                <w:sz w:val="16"/>
              </w:rPr>
              <w:t>Gωxkm</w:t>
            </w:r>
            <w:proofErr w:type="spellEnd"/>
            <w:r>
              <w:rPr>
                <w:rFonts w:ascii="Microsoft Sans Serif" w:eastAsia="Microsoft Sans Serif" w:hAnsi="Microsoft Sans Serif" w:cs="Microsoft Sans Serif"/>
                <w:sz w:val="16"/>
              </w:rPr>
              <w:t>, odporność środowiskowa kabla powinna spełniać Nierozprzestrzenianie płomienia na pojedynczym kablu. Instalacja powinna być rozkładana w kanałach, korytkach, rurkach lub w bruzdach. W przypadku brud należy doprowadzić ściany do stanu przed bruzdowaniem.</w:t>
            </w:r>
            <w:r>
              <w:rPr>
                <w:rFonts w:ascii="Arial" w:eastAsia="Arial" w:hAnsi="Arial" w:cs="Arial"/>
                <w:sz w:val="16"/>
              </w:rPr>
              <w:t xml:space="preserve"> </w:t>
            </w:r>
          </w:p>
        </w:tc>
      </w:tr>
      <w:tr w:rsidR="00774BA2" w14:paraId="20A07BCB" w14:textId="77777777" w:rsidTr="00774BA2">
        <w:trPr>
          <w:trHeight w:val="554"/>
          <w:jc w:val="center"/>
        </w:trPr>
        <w:tc>
          <w:tcPr>
            <w:tcW w:w="593" w:type="dxa"/>
            <w:tcBorders>
              <w:top w:val="single" w:sz="4" w:space="0" w:color="000000"/>
              <w:left w:val="single" w:sz="4" w:space="0" w:color="000000"/>
              <w:bottom w:val="single" w:sz="4" w:space="0" w:color="000000"/>
              <w:right w:val="single" w:sz="4" w:space="0" w:color="000000"/>
            </w:tcBorders>
            <w:vAlign w:val="center"/>
          </w:tcPr>
          <w:p w14:paraId="23A8D279" w14:textId="77777777" w:rsidR="00774BA2" w:rsidRDefault="00774BA2" w:rsidP="000F07C8">
            <w:pPr>
              <w:spacing w:line="259" w:lineRule="auto"/>
              <w:ind w:left="45"/>
              <w:jc w:val="center"/>
            </w:pPr>
            <w:r>
              <w:rPr>
                <w:rFonts w:ascii="Arial" w:eastAsia="Arial" w:hAnsi="Arial" w:cs="Arial"/>
                <w:sz w:val="16"/>
              </w:rPr>
              <w:t>K</w:t>
            </w:r>
          </w:p>
        </w:tc>
        <w:tc>
          <w:tcPr>
            <w:tcW w:w="1478" w:type="dxa"/>
            <w:tcBorders>
              <w:top w:val="single" w:sz="4" w:space="0" w:color="000000"/>
              <w:left w:val="single" w:sz="4" w:space="0" w:color="000000"/>
              <w:bottom w:val="single" w:sz="4" w:space="0" w:color="000000"/>
              <w:right w:val="single" w:sz="4" w:space="0" w:color="000000"/>
            </w:tcBorders>
          </w:tcPr>
          <w:p w14:paraId="1E9F3B29" w14:textId="77777777" w:rsidR="00774BA2" w:rsidRDefault="00774BA2" w:rsidP="000F07C8">
            <w:pPr>
              <w:spacing w:line="259" w:lineRule="auto"/>
              <w:jc w:val="center"/>
            </w:pPr>
            <w:r>
              <w:rPr>
                <w:rFonts w:ascii="Arial" w:eastAsia="Arial" w:hAnsi="Arial" w:cs="Arial"/>
                <w:sz w:val="16"/>
              </w:rPr>
              <w:t xml:space="preserve">Doprowadzenie światłowodu </w:t>
            </w:r>
          </w:p>
        </w:tc>
        <w:tc>
          <w:tcPr>
            <w:tcW w:w="542" w:type="dxa"/>
            <w:tcBorders>
              <w:top w:val="single" w:sz="4" w:space="0" w:color="000000"/>
              <w:left w:val="single" w:sz="4" w:space="0" w:color="000000"/>
              <w:bottom w:val="single" w:sz="4" w:space="0" w:color="000000"/>
              <w:right w:val="single" w:sz="4" w:space="0" w:color="000000"/>
            </w:tcBorders>
          </w:tcPr>
          <w:p w14:paraId="5DAD4725" w14:textId="77777777" w:rsidR="00774BA2" w:rsidRDefault="00774BA2" w:rsidP="000F07C8">
            <w:pPr>
              <w:spacing w:line="259" w:lineRule="auto"/>
              <w:ind w:right="52"/>
              <w:jc w:val="center"/>
            </w:pPr>
            <w:r>
              <w:rPr>
                <w:rFonts w:ascii="Arial" w:eastAsia="Arial" w:hAnsi="Arial" w:cs="Arial"/>
                <w:sz w:val="16"/>
              </w:rPr>
              <w:t xml:space="preserve">1 </w:t>
            </w:r>
          </w:p>
        </w:tc>
        <w:tc>
          <w:tcPr>
            <w:tcW w:w="9006" w:type="dxa"/>
            <w:tcBorders>
              <w:top w:val="single" w:sz="4" w:space="0" w:color="000000"/>
              <w:left w:val="single" w:sz="4" w:space="0" w:color="000000"/>
              <w:bottom w:val="single" w:sz="4" w:space="0" w:color="000000"/>
              <w:right w:val="single" w:sz="4" w:space="0" w:color="000000"/>
            </w:tcBorders>
          </w:tcPr>
          <w:p w14:paraId="5B8F3992" w14:textId="77777777" w:rsidR="00774BA2" w:rsidRDefault="00774BA2" w:rsidP="000F07C8">
            <w:pPr>
              <w:spacing w:line="259" w:lineRule="auto"/>
              <w:ind w:right="42"/>
            </w:pPr>
            <w:r>
              <w:rPr>
                <w:rFonts w:ascii="Microsoft Sans Serif" w:eastAsia="Microsoft Sans Serif" w:hAnsi="Microsoft Sans Serif" w:cs="Microsoft Sans Serif"/>
                <w:sz w:val="16"/>
              </w:rPr>
              <w:t>Wykonawca powinien wyprowadzić światłowód z punktu wskazanego przez Zlecającego do punktu docelowego instalacji światłowodowej. Tak aby instalacja światłowodowa stanowiła spójność sieci na zadanym odcinku budowanej infrastruktury.</w:t>
            </w:r>
            <w:r>
              <w:rPr>
                <w:rFonts w:ascii="Arial" w:eastAsia="Arial" w:hAnsi="Arial" w:cs="Arial"/>
                <w:sz w:val="16"/>
              </w:rPr>
              <w:t xml:space="preserve"> </w:t>
            </w:r>
          </w:p>
        </w:tc>
      </w:tr>
      <w:tr w:rsidR="00493F02" w14:paraId="077E526F" w14:textId="77777777" w:rsidTr="00774BA2">
        <w:trPr>
          <w:trHeight w:val="562"/>
          <w:jc w:val="center"/>
        </w:trPr>
        <w:tc>
          <w:tcPr>
            <w:tcW w:w="593" w:type="dxa"/>
            <w:tcBorders>
              <w:top w:val="single" w:sz="4" w:space="0" w:color="000000"/>
              <w:left w:val="single" w:sz="4" w:space="0" w:color="000000"/>
              <w:bottom w:val="single" w:sz="4" w:space="0" w:color="000000"/>
              <w:right w:val="single" w:sz="4" w:space="0" w:color="000000"/>
            </w:tcBorders>
            <w:vAlign w:val="center"/>
          </w:tcPr>
          <w:p w14:paraId="47B9E7D9" w14:textId="77777777" w:rsidR="00493F02" w:rsidRDefault="00493F02" w:rsidP="00493F02">
            <w:pPr>
              <w:spacing w:line="259" w:lineRule="auto"/>
              <w:ind w:left="45"/>
              <w:jc w:val="center"/>
            </w:pPr>
            <w:r>
              <w:rPr>
                <w:rFonts w:ascii="Arial" w:eastAsia="Arial" w:hAnsi="Arial" w:cs="Arial"/>
                <w:sz w:val="16"/>
              </w:rPr>
              <w:t>L</w:t>
            </w:r>
          </w:p>
        </w:tc>
        <w:tc>
          <w:tcPr>
            <w:tcW w:w="1478" w:type="dxa"/>
            <w:tcBorders>
              <w:top w:val="single" w:sz="4" w:space="0" w:color="000000"/>
              <w:left w:val="single" w:sz="4" w:space="0" w:color="000000"/>
              <w:bottom w:val="single" w:sz="4" w:space="0" w:color="000000"/>
              <w:right w:val="single" w:sz="4" w:space="0" w:color="000000"/>
            </w:tcBorders>
          </w:tcPr>
          <w:p w14:paraId="42004626" w14:textId="31328B2F" w:rsidR="00493F02" w:rsidRDefault="00493F02" w:rsidP="00493F02">
            <w:pPr>
              <w:spacing w:line="259" w:lineRule="auto"/>
              <w:jc w:val="center"/>
            </w:pPr>
            <w:r>
              <w:rPr>
                <w:rFonts w:ascii="Arial" w:eastAsia="Arial" w:hAnsi="Arial" w:cs="Arial"/>
                <w:sz w:val="16"/>
              </w:rPr>
              <w:t xml:space="preserve">Rozdzielnia elektryczna </w:t>
            </w:r>
          </w:p>
        </w:tc>
        <w:tc>
          <w:tcPr>
            <w:tcW w:w="542" w:type="dxa"/>
            <w:tcBorders>
              <w:top w:val="single" w:sz="4" w:space="0" w:color="000000"/>
              <w:left w:val="single" w:sz="4" w:space="0" w:color="000000"/>
              <w:bottom w:val="single" w:sz="4" w:space="0" w:color="000000"/>
              <w:right w:val="single" w:sz="4" w:space="0" w:color="000000"/>
            </w:tcBorders>
          </w:tcPr>
          <w:p w14:paraId="1F90033D" w14:textId="7B125347" w:rsidR="00493F02" w:rsidRDefault="00493F02" w:rsidP="00493F02">
            <w:pPr>
              <w:spacing w:line="259" w:lineRule="auto"/>
              <w:ind w:right="52"/>
              <w:jc w:val="center"/>
            </w:pPr>
            <w:r>
              <w:rPr>
                <w:rFonts w:ascii="Arial" w:eastAsia="Arial" w:hAnsi="Arial" w:cs="Arial"/>
                <w:sz w:val="16"/>
              </w:rPr>
              <w:t xml:space="preserve">1 </w:t>
            </w:r>
          </w:p>
        </w:tc>
        <w:tc>
          <w:tcPr>
            <w:tcW w:w="9006" w:type="dxa"/>
            <w:tcBorders>
              <w:top w:val="single" w:sz="4" w:space="0" w:color="000000"/>
              <w:left w:val="single" w:sz="4" w:space="0" w:color="000000"/>
              <w:bottom w:val="single" w:sz="4" w:space="0" w:color="000000"/>
              <w:right w:val="single" w:sz="4" w:space="0" w:color="000000"/>
            </w:tcBorders>
          </w:tcPr>
          <w:p w14:paraId="72D8F00F" w14:textId="0911B665" w:rsidR="00493F02" w:rsidRDefault="00493F02" w:rsidP="00493F02">
            <w:pPr>
              <w:spacing w:line="259" w:lineRule="auto"/>
            </w:pPr>
            <w:r>
              <w:rPr>
                <w:rFonts w:ascii="Arial" w:eastAsia="Arial" w:hAnsi="Arial" w:cs="Arial"/>
                <w:sz w:val="16"/>
              </w:rPr>
              <w:t>Rozdzielnica elektryczna powinna być wyposażona w niezbędną ilość pól do zapewnienia odpowiedniego bezpieczeństwa podłączonej do niej instalacji. Powinna posiadać listwy zaciskowe PN+N, obsługiwać napięcie znamieniowe 400V. Rozdzielnica powinna być wyposażona w odpowiednia ilość zabezpieczeń prądowych na dany obwód oraz powinna być zabezpieczona odpowiednim zabezpieczeniem różnicowo-prądowym. Rozdzielnica powinna być zbudowana przez osobę która posiada niezbędne uprawnienia do wykonywania tego typu prac.</w:t>
            </w:r>
          </w:p>
        </w:tc>
      </w:tr>
      <w:tr w:rsidR="00493F02" w14:paraId="2CC0E078" w14:textId="77777777" w:rsidTr="00774BA2">
        <w:trPr>
          <w:trHeight w:val="905"/>
          <w:jc w:val="center"/>
        </w:trPr>
        <w:tc>
          <w:tcPr>
            <w:tcW w:w="593" w:type="dxa"/>
            <w:tcBorders>
              <w:top w:val="single" w:sz="4" w:space="0" w:color="000000"/>
              <w:left w:val="single" w:sz="4" w:space="0" w:color="000000"/>
              <w:bottom w:val="single" w:sz="4" w:space="0" w:color="000000"/>
              <w:right w:val="single" w:sz="4" w:space="0" w:color="000000"/>
            </w:tcBorders>
            <w:vAlign w:val="center"/>
          </w:tcPr>
          <w:p w14:paraId="142D1DDB" w14:textId="77777777" w:rsidR="00493F02" w:rsidRDefault="00493F02" w:rsidP="00493F02">
            <w:pPr>
              <w:spacing w:line="259" w:lineRule="auto"/>
              <w:ind w:left="45"/>
              <w:jc w:val="center"/>
            </w:pPr>
            <w:r>
              <w:t>Ł</w:t>
            </w:r>
          </w:p>
        </w:tc>
        <w:tc>
          <w:tcPr>
            <w:tcW w:w="1478" w:type="dxa"/>
            <w:tcBorders>
              <w:top w:val="single" w:sz="4" w:space="0" w:color="000000"/>
              <w:left w:val="single" w:sz="4" w:space="0" w:color="000000"/>
              <w:bottom w:val="single" w:sz="4" w:space="0" w:color="000000"/>
              <w:right w:val="single" w:sz="4" w:space="0" w:color="000000"/>
            </w:tcBorders>
          </w:tcPr>
          <w:p w14:paraId="21DF1082" w14:textId="078EEDE0" w:rsidR="00493F02" w:rsidRDefault="00493F02" w:rsidP="00493F02">
            <w:pPr>
              <w:spacing w:line="259" w:lineRule="auto"/>
              <w:jc w:val="center"/>
            </w:pPr>
            <w:r>
              <w:rPr>
                <w:rFonts w:ascii="Arial" w:eastAsia="Arial" w:hAnsi="Arial" w:cs="Arial"/>
                <w:sz w:val="16"/>
              </w:rPr>
              <w:t xml:space="preserve">Instalacja elektryczna </w:t>
            </w:r>
          </w:p>
        </w:tc>
        <w:tc>
          <w:tcPr>
            <w:tcW w:w="542" w:type="dxa"/>
            <w:tcBorders>
              <w:top w:val="single" w:sz="4" w:space="0" w:color="000000"/>
              <w:left w:val="single" w:sz="4" w:space="0" w:color="000000"/>
              <w:bottom w:val="single" w:sz="4" w:space="0" w:color="000000"/>
              <w:right w:val="single" w:sz="4" w:space="0" w:color="000000"/>
            </w:tcBorders>
          </w:tcPr>
          <w:p w14:paraId="05891CAD" w14:textId="11487229" w:rsidR="00493F02" w:rsidRDefault="00493F02" w:rsidP="00493F02">
            <w:pPr>
              <w:spacing w:line="259" w:lineRule="auto"/>
              <w:ind w:right="52"/>
              <w:jc w:val="center"/>
            </w:pPr>
            <w:r>
              <w:rPr>
                <w:rFonts w:ascii="Arial" w:eastAsia="Arial" w:hAnsi="Arial" w:cs="Arial"/>
                <w:sz w:val="16"/>
              </w:rPr>
              <w:t xml:space="preserve">1 </w:t>
            </w:r>
          </w:p>
        </w:tc>
        <w:tc>
          <w:tcPr>
            <w:tcW w:w="9006" w:type="dxa"/>
            <w:tcBorders>
              <w:top w:val="single" w:sz="4" w:space="0" w:color="000000"/>
              <w:left w:val="single" w:sz="4" w:space="0" w:color="000000"/>
              <w:bottom w:val="single" w:sz="4" w:space="0" w:color="000000"/>
              <w:right w:val="single" w:sz="4" w:space="0" w:color="000000"/>
            </w:tcBorders>
          </w:tcPr>
          <w:p w14:paraId="781DDD54" w14:textId="235042D2" w:rsidR="00493F02" w:rsidRDefault="00493F02" w:rsidP="00493F02">
            <w:pPr>
              <w:spacing w:line="259" w:lineRule="auto"/>
              <w:ind w:left="72" w:right="43"/>
            </w:pPr>
            <w:r>
              <w:rPr>
                <w:rFonts w:ascii="Arial" w:eastAsia="Arial" w:hAnsi="Arial" w:cs="Arial"/>
                <w:sz w:val="16"/>
              </w:rPr>
              <w:t xml:space="preserve">Instalację elektryczną należy prowadzić w korytach kablowych o szerokości i grubości dostosowanej do prowadzonej przez wykonawcę instalacji elektrycznej. Przekroje kabli oraz gniazdka powinny być dobrane przez Wykonawcę w sposób zgodny z obowiązującymi normami elektrycznymi w prawie budowlanym. Wykonawca zapewnia, że osoby wykonujące instalację elektryczną posiadają niezbędne uprawnienia. </w:t>
            </w:r>
          </w:p>
        </w:tc>
      </w:tr>
      <w:tr w:rsidR="00493F02" w14:paraId="11E5A6EF" w14:textId="77777777" w:rsidTr="00774BA2">
        <w:trPr>
          <w:trHeight w:val="931"/>
          <w:jc w:val="center"/>
        </w:trPr>
        <w:tc>
          <w:tcPr>
            <w:tcW w:w="593" w:type="dxa"/>
            <w:tcBorders>
              <w:top w:val="single" w:sz="4" w:space="0" w:color="000000"/>
              <w:left w:val="single" w:sz="4" w:space="0" w:color="000000"/>
              <w:bottom w:val="single" w:sz="4" w:space="0" w:color="000000"/>
              <w:right w:val="single" w:sz="4" w:space="0" w:color="000000"/>
            </w:tcBorders>
            <w:vAlign w:val="center"/>
          </w:tcPr>
          <w:p w14:paraId="7E70264B" w14:textId="77777777" w:rsidR="00493F02" w:rsidRDefault="00493F02" w:rsidP="00493F02">
            <w:pPr>
              <w:spacing w:line="259" w:lineRule="auto"/>
              <w:ind w:left="14"/>
              <w:jc w:val="center"/>
            </w:pPr>
            <w:r>
              <w:rPr>
                <w:rFonts w:ascii="Arial" w:eastAsia="Arial" w:hAnsi="Arial" w:cs="Arial"/>
                <w:sz w:val="16"/>
              </w:rPr>
              <w:t>M</w:t>
            </w:r>
          </w:p>
        </w:tc>
        <w:tc>
          <w:tcPr>
            <w:tcW w:w="1478" w:type="dxa"/>
            <w:tcBorders>
              <w:top w:val="single" w:sz="4" w:space="0" w:color="000000"/>
              <w:left w:val="single" w:sz="4" w:space="0" w:color="000000"/>
              <w:bottom w:val="single" w:sz="4" w:space="0" w:color="000000"/>
              <w:right w:val="single" w:sz="4" w:space="0" w:color="000000"/>
            </w:tcBorders>
          </w:tcPr>
          <w:p w14:paraId="2F7A0F1F" w14:textId="59204768" w:rsidR="00493F02" w:rsidRDefault="00493F02" w:rsidP="00493F02">
            <w:pPr>
              <w:spacing w:line="259" w:lineRule="auto"/>
              <w:jc w:val="center"/>
            </w:pPr>
            <w:r>
              <w:rPr>
                <w:rFonts w:ascii="Arial" w:eastAsia="Arial" w:hAnsi="Arial" w:cs="Arial"/>
                <w:sz w:val="16"/>
              </w:rPr>
              <w:t xml:space="preserve">Zasilenie rozdzielni </w:t>
            </w:r>
          </w:p>
        </w:tc>
        <w:tc>
          <w:tcPr>
            <w:tcW w:w="542" w:type="dxa"/>
            <w:tcBorders>
              <w:top w:val="single" w:sz="4" w:space="0" w:color="000000"/>
              <w:left w:val="single" w:sz="4" w:space="0" w:color="000000"/>
              <w:bottom w:val="single" w:sz="4" w:space="0" w:color="000000"/>
              <w:right w:val="single" w:sz="4" w:space="0" w:color="000000"/>
            </w:tcBorders>
          </w:tcPr>
          <w:p w14:paraId="78A2E61C" w14:textId="466047CF" w:rsidR="00493F02" w:rsidRDefault="00493F02" w:rsidP="00493F02">
            <w:pPr>
              <w:spacing w:line="259" w:lineRule="auto"/>
              <w:ind w:right="82"/>
              <w:jc w:val="center"/>
            </w:pPr>
            <w:r>
              <w:rPr>
                <w:rFonts w:ascii="Arial" w:eastAsia="Arial" w:hAnsi="Arial" w:cs="Arial"/>
                <w:sz w:val="16"/>
              </w:rPr>
              <w:t xml:space="preserve">1 </w:t>
            </w:r>
          </w:p>
        </w:tc>
        <w:tc>
          <w:tcPr>
            <w:tcW w:w="9006" w:type="dxa"/>
            <w:tcBorders>
              <w:top w:val="single" w:sz="4" w:space="0" w:color="000000"/>
              <w:left w:val="single" w:sz="4" w:space="0" w:color="000000"/>
              <w:bottom w:val="single" w:sz="4" w:space="0" w:color="000000"/>
              <w:right w:val="single" w:sz="4" w:space="0" w:color="000000"/>
            </w:tcBorders>
          </w:tcPr>
          <w:p w14:paraId="1C62B5D0" w14:textId="76AFA0AB" w:rsidR="00493F02" w:rsidRDefault="00493F02" w:rsidP="00493F02">
            <w:pPr>
              <w:spacing w:line="259" w:lineRule="auto"/>
              <w:ind w:left="41" w:right="111"/>
            </w:pPr>
            <w:r>
              <w:rPr>
                <w:rFonts w:ascii="Arial" w:eastAsia="Arial" w:hAnsi="Arial" w:cs="Arial"/>
                <w:sz w:val="16"/>
              </w:rPr>
              <w:t xml:space="preserve">Wykonawca musi zapewnić prawidłowe podłączenie rozdzielni do zasilania budynku, zgodnie z normami prawa budowlanego obowiązującymi na terenie Polski. Wykonawca zapewni, że posiada niezbędne uprawnienia do tego, aby podłączyć zasilanie rozdzielni elektrycznej, przed odbiorem dostarczy schemat zasilenia. </w:t>
            </w:r>
          </w:p>
        </w:tc>
      </w:tr>
      <w:tr w:rsidR="00493F02" w14:paraId="660481A7" w14:textId="77777777" w:rsidTr="00774BA2">
        <w:trPr>
          <w:trHeight w:val="725"/>
          <w:jc w:val="center"/>
        </w:trPr>
        <w:tc>
          <w:tcPr>
            <w:tcW w:w="593" w:type="dxa"/>
            <w:tcBorders>
              <w:top w:val="single" w:sz="4" w:space="0" w:color="000000"/>
              <w:left w:val="single" w:sz="4" w:space="0" w:color="000000"/>
              <w:bottom w:val="single" w:sz="4" w:space="0" w:color="000000"/>
              <w:right w:val="single" w:sz="4" w:space="0" w:color="000000"/>
            </w:tcBorders>
            <w:vAlign w:val="center"/>
          </w:tcPr>
          <w:p w14:paraId="3241E568" w14:textId="77777777" w:rsidR="00493F02" w:rsidRDefault="00493F02" w:rsidP="00493F02">
            <w:pPr>
              <w:spacing w:line="259" w:lineRule="auto"/>
              <w:ind w:left="14"/>
              <w:jc w:val="center"/>
            </w:pPr>
            <w:r>
              <w:rPr>
                <w:rFonts w:ascii="Arial" w:eastAsia="Arial" w:hAnsi="Arial" w:cs="Arial"/>
                <w:sz w:val="16"/>
              </w:rPr>
              <w:t>N</w:t>
            </w:r>
          </w:p>
        </w:tc>
        <w:tc>
          <w:tcPr>
            <w:tcW w:w="1478" w:type="dxa"/>
            <w:tcBorders>
              <w:top w:val="single" w:sz="4" w:space="0" w:color="000000"/>
              <w:left w:val="single" w:sz="4" w:space="0" w:color="000000"/>
              <w:bottom w:val="single" w:sz="4" w:space="0" w:color="000000"/>
              <w:right w:val="single" w:sz="4" w:space="0" w:color="000000"/>
            </w:tcBorders>
          </w:tcPr>
          <w:p w14:paraId="250AA4AB" w14:textId="4AB3C378" w:rsidR="00493F02" w:rsidRDefault="00493F02" w:rsidP="00493F02">
            <w:pPr>
              <w:spacing w:line="259" w:lineRule="auto"/>
            </w:pPr>
            <w:r>
              <w:rPr>
                <w:rFonts w:ascii="Arial" w:eastAsia="Arial" w:hAnsi="Arial" w:cs="Arial"/>
                <w:sz w:val="16"/>
              </w:rPr>
              <w:t xml:space="preserve">Szafa Rak 42 </w:t>
            </w:r>
          </w:p>
        </w:tc>
        <w:tc>
          <w:tcPr>
            <w:tcW w:w="542" w:type="dxa"/>
            <w:tcBorders>
              <w:top w:val="single" w:sz="4" w:space="0" w:color="000000"/>
              <w:left w:val="single" w:sz="4" w:space="0" w:color="000000"/>
              <w:bottom w:val="single" w:sz="4" w:space="0" w:color="000000"/>
              <w:right w:val="single" w:sz="4" w:space="0" w:color="000000"/>
            </w:tcBorders>
          </w:tcPr>
          <w:p w14:paraId="245BFE74" w14:textId="6D5EBC77" w:rsidR="00493F02" w:rsidRDefault="00493F02" w:rsidP="00493F02">
            <w:pPr>
              <w:spacing w:line="259" w:lineRule="auto"/>
              <w:ind w:right="82"/>
              <w:jc w:val="center"/>
            </w:pPr>
            <w:r>
              <w:rPr>
                <w:rFonts w:ascii="Arial" w:eastAsia="Arial" w:hAnsi="Arial" w:cs="Arial"/>
                <w:sz w:val="16"/>
              </w:rPr>
              <w:t xml:space="preserve">1 </w:t>
            </w:r>
          </w:p>
        </w:tc>
        <w:tc>
          <w:tcPr>
            <w:tcW w:w="9006" w:type="dxa"/>
            <w:tcBorders>
              <w:top w:val="single" w:sz="4" w:space="0" w:color="000000"/>
              <w:left w:val="single" w:sz="4" w:space="0" w:color="000000"/>
              <w:bottom w:val="single" w:sz="4" w:space="0" w:color="000000"/>
              <w:right w:val="single" w:sz="4" w:space="0" w:color="000000"/>
            </w:tcBorders>
          </w:tcPr>
          <w:p w14:paraId="783D62CE" w14:textId="66711451" w:rsidR="00493F02" w:rsidRDefault="00493F02" w:rsidP="00493F02">
            <w:pPr>
              <w:spacing w:line="259" w:lineRule="auto"/>
              <w:ind w:left="41" w:right="42"/>
            </w:pPr>
            <w:r>
              <w:rPr>
                <w:rFonts w:ascii="Arial" w:eastAsia="Arial" w:hAnsi="Arial" w:cs="Arial"/>
                <w:sz w:val="16"/>
              </w:rPr>
              <w:t xml:space="preserve">Stojąca szafa </w:t>
            </w:r>
            <w:proofErr w:type="spellStart"/>
            <w:r>
              <w:rPr>
                <w:rFonts w:ascii="Arial" w:eastAsia="Arial" w:hAnsi="Arial" w:cs="Arial"/>
                <w:sz w:val="16"/>
              </w:rPr>
              <w:t>rack</w:t>
            </w:r>
            <w:proofErr w:type="spellEnd"/>
            <w:r>
              <w:rPr>
                <w:rFonts w:ascii="Arial" w:eastAsia="Arial" w:hAnsi="Arial" w:cs="Arial"/>
                <w:sz w:val="16"/>
              </w:rPr>
              <w:t xml:space="preserve"> 42U o wymiarach minimum Szafa: 600 x 600 mm. Szafa wykonana ze stali, wyposażona w przeszklone drzwi. Kolor czarny. Waga maksymalnego obciążenia około 800kg. Powinna być wyposażona w kółka. </w:t>
            </w:r>
          </w:p>
        </w:tc>
      </w:tr>
      <w:tr w:rsidR="00493F02" w14:paraId="7A61183D" w14:textId="77777777" w:rsidTr="00774BA2">
        <w:trPr>
          <w:trHeight w:val="562"/>
          <w:jc w:val="center"/>
        </w:trPr>
        <w:tc>
          <w:tcPr>
            <w:tcW w:w="593" w:type="dxa"/>
            <w:tcBorders>
              <w:top w:val="single" w:sz="4" w:space="0" w:color="000000"/>
              <w:left w:val="single" w:sz="4" w:space="0" w:color="000000"/>
              <w:bottom w:val="single" w:sz="4" w:space="0" w:color="000000"/>
              <w:right w:val="single" w:sz="4" w:space="0" w:color="000000"/>
            </w:tcBorders>
            <w:vAlign w:val="center"/>
          </w:tcPr>
          <w:p w14:paraId="55EED795" w14:textId="77777777" w:rsidR="00493F02" w:rsidRDefault="00493F02" w:rsidP="00493F02">
            <w:pPr>
              <w:spacing w:line="259" w:lineRule="auto"/>
              <w:ind w:left="14"/>
              <w:jc w:val="center"/>
            </w:pPr>
            <w:r>
              <w:rPr>
                <w:rFonts w:ascii="Arial" w:eastAsia="Arial" w:hAnsi="Arial" w:cs="Arial"/>
                <w:sz w:val="16"/>
              </w:rPr>
              <w:lastRenderedPageBreak/>
              <w:t>O</w:t>
            </w:r>
          </w:p>
        </w:tc>
        <w:tc>
          <w:tcPr>
            <w:tcW w:w="1478" w:type="dxa"/>
            <w:tcBorders>
              <w:top w:val="single" w:sz="4" w:space="0" w:color="000000"/>
              <w:left w:val="single" w:sz="4" w:space="0" w:color="000000"/>
              <w:bottom w:val="single" w:sz="4" w:space="0" w:color="000000"/>
              <w:right w:val="single" w:sz="4" w:space="0" w:color="000000"/>
            </w:tcBorders>
          </w:tcPr>
          <w:p w14:paraId="46D148E5" w14:textId="74B4D163" w:rsidR="00493F02" w:rsidRDefault="00493F02" w:rsidP="00493F02">
            <w:pPr>
              <w:spacing w:line="259" w:lineRule="auto"/>
              <w:ind w:right="78"/>
              <w:jc w:val="center"/>
            </w:pPr>
            <w:r>
              <w:rPr>
                <w:rFonts w:ascii="Arial" w:eastAsia="Arial" w:hAnsi="Arial" w:cs="Arial"/>
                <w:sz w:val="16"/>
              </w:rPr>
              <w:t xml:space="preserve">Instalacja teletechniczna </w:t>
            </w:r>
          </w:p>
        </w:tc>
        <w:tc>
          <w:tcPr>
            <w:tcW w:w="542" w:type="dxa"/>
            <w:tcBorders>
              <w:top w:val="single" w:sz="4" w:space="0" w:color="000000"/>
              <w:left w:val="single" w:sz="4" w:space="0" w:color="000000"/>
              <w:bottom w:val="single" w:sz="4" w:space="0" w:color="000000"/>
              <w:right w:val="single" w:sz="4" w:space="0" w:color="000000"/>
            </w:tcBorders>
          </w:tcPr>
          <w:p w14:paraId="65E643E5" w14:textId="57D1CC28" w:rsidR="00493F02" w:rsidRDefault="00493F02" w:rsidP="00493F02">
            <w:pPr>
              <w:spacing w:line="259" w:lineRule="auto"/>
              <w:ind w:right="82"/>
              <w:jc w:val="center"/>
            </w:pPr>
            <w:r>
              <w:rPr>
                <w:rFonts w:ascii="Arial" w:eastAsia="Arial" w:hAnsi="Arial" w:cs="Arial"/>
                <w:sz w:val="16"/>
              </w:rPr>
              <w:t xml:space="preserve">1 </w:t>
            </w:r>
          </w:p>
        </w:tc>
        <w:tc>
          <w:tcPr>
            <w:tcW w:w="9006" w:type="dxa"/>
            <w:tcBorders>
              <w:top w:val="single" w:sz="4" w:space="0" w:color="000000"/>
              <w:left w:val="single" w:sz="4" w:space="0" w:color="000000"/>
              <w:bottom w:val="single" w:sz="4" w:space="0" w:color="000000"/>
              <w:right w:val="single" w:sz="4" w:space="0" w:color="000000"/>
            </w:tcBorders>
          </w:tcPr>
          <w:p w14:paraId="4DC785B4" w14:textId="26920ADA" w:rsidR="00493F02" w:rsidRDefault="00493F02" w:rsidP="00493F02">
            <w:pPr>
              <w:spacing w:line="259" w:lineRule="auto"/>
              <w:ind w:left="41" w:right="114"/>
            </w:pPr>
            <w:r>
              <w:rPr>
                <w:rFonts w:ascii="Arial" w:eastAsia="Arial" w:hAnsi="Arial" w:cs="Arial"/>
                <w:sz w:val="16"/>
              </w:rPr>
              <w:t xml:space="preserve">Instalacja teletechniczna powinna być wykonywana za pomocą kabla UTP kategorii 6, kabel powinien być wyposażony w żyły miedziane, rezystancja izolacji: 5 </w:t>
            </w:r>
            <w:proofErr w:type="spellStart"/>
            <w:r>
              <w:rPr>
                <w:rFonts w:ascii="Arial" w:eastAsia="Arial" w:hAnsi="Arial" w:cs="Arial"/>
                <w:sz w:val="16"/>
              </w:rPr>
              <w:t>Gωxkm</w:t>
            </w:r>
            <w:proofErr w:type="spellEnd"/>
            <w:r>
              <w:rPr>
                <w:rFonts w:ascii="Arial" w:eastAsia="Arial" w:hAnsi="Arial" w:cs="Arial"/>
                <w:sz w:val="16"/>
              </w:rPr>
              <w:t xml:space="preserve">, odporność środowiskowa kabla powinna spełniać Nierozprzestrzenianie płomienia na pojedynczym kablu. Instalacja powinna być rozkładana w kanałach, korytkach, rurkach lub w bruzdach. W przypadku brud należy doprowadzić ściany do stanu przed bruzdowaniem. </w:t>
            </w:r>
          </w:p>
        </w:tc>
      </w:tr>
      <w:bookmarkEnd w:id="0"/>
    </w:tbl>
    <w:p w14:paraId="0E05ADBD" w14:textId="4C44B0CB" w:rsidR="003B4013" w:rsidRDefault="003B4013" w:rsidP="006C61CF">
      <w:pPr>
        <w:autoSpaceDE w:val="0"/>
        <w:autoSpaceDN w:val="0"/>
        <w:adjustRightInd w:val="0"/>
        <w:jc w:val="both"/>
        <w:rPr>
          <w:rFonts w:ascii="Arial Nova" w:hAnsi="Arial Nova" w:cs="Arial Nova"/>
          <w:color w:val="000000"/>
          <w:kern w:val="0"/>
          <w:sz w:val="18"/>
          <w:szCs w:val="18"/>
        </w:rPr>
      </w:pPr>
    </w:p>
    <w:p w14:paraId="1B8DA3D1" w14:textId="23D2471E" w:rsidR="00323292" w:rsidRDefault="00323292" w:rsidP="006C61CF">
      <w:pPr>
        <w:autoSpaceDE w:val="0"/>
        <w:autoSpaceDN w:val="0"/>
        <w:adjustRightInd w:val="0"/>
        <w:jc w:val="both"/>
        <w:rPr>
          <w:rFonts w:ascii="Arial Nova" w:hAnsi="Arial Nova" w:cs="Arial Nova"/>
          <w:color w:val="000000"/>
          <w:kern w:val="0"/>
          <w:sz w:val="18"/>
          <w:szCs w:val="18"/>
        </w:rPr>
      </w:pPr>
    </w:p>
    <w:p w14:paraId="2ADD8D15" w14:textId="38C90288" w:rsidR="009A0807" w:rsidRDefault="009A0807" w:rsidP="006C61CF">
      <w:pPr>
        <w:autoSpaceDE w:val="0"/>
        <w:autoSpaceDN w:val="0"/>
        <w:adjustRightInd w:val="0"/>
        <w:jc w:val="both"/>
        <w:rPr>
          <w:rFonts w:ascii="Arial Nova" w:hAnsi="Arial Nova" w:cs="Arial Nova"/>
          <w:color w:val="000000"/>
          <w:kern w:val="0"/>
          <w:sz w:val="18"/>
          <w:szCs w:val="18"/>
        </w:rPr>
      </w:pPr>
      <w:r>
        <w:rPr>
          <w:rFonts w:ascii="Arial Nova" w:hAnsi="Arial Nova" w:cs="Arial Nova"/>
          <w:color w:val="000000"/>
          <w:kern w:val="0"/>
          <w:sz w:val="18"/>
          <w:szCs w:val="18"/>
        </w:rPr>
        <w:t xml:space="preserve">Dla wszystkich pozycji: </w:t>
      </w:r>
      <w:r w:rsidRPr="009A0807">
        <w:rPr>
          <w:rFonts w:ascii="Avenir Book" w:hAnsi="Avenir Book"/>
          <w:b/>
          <w:bCs/>
          <w:sz w:val="22"/>
          <w:szCs w:val="22"/>
        </w:rPr>
        <w:t>GWARANCJA</w:t>
      </w:r>
      <w:r w:rsidR="00EC59E7">
        <w:rPr>
          <w:rFonts w:ascii="Avenir Book" w:hAnsi="Avenir Book"/>
          <w:b/>
          <w:bCs/>
          <w:sz w:val="22"/>
          <w:szCs w:val="22"/>
        </w:rPr>
        <w:t xml:space="preserve"> PRODUCENTA</w:t>
      </w:r>
      <w:r w:rsidRPr="009A0807">
        <w:rPr>
          <w:rFonts w:ascii="Avenir Book" w:hAnsi="Avenir Book"/>
          <w:b/>
          <w:bCs/>
          <w:sz w:val="22"/>
          <w:szCs w:val="22"/>
        </w:rPr>
        <w:t xml:space="preserve"> I RĘKOJMIA: 24 MIESIĄCE</w:t>
      </w:r>
      <w:r>
        <w:rPr>
          <w:rFonts w:ascii="Avenir Book" w:hAnsi="Avenir Book"/>
          <w:b/>
          <w:bCs/>
          <w:sz w:val="22"/>
          <w:szCs w:val="22"/>
        </w:rPr>
        <w:t>.</w:t>
      </w:r>
    </w:p>
    <w:p w14:paraId="38FB061D" w14:textId="77777777" w:rsidR="009A0807" w:rsidRDefault="009A0807" w:rsidP="006C61CF">
      <w:pPr>
        <w:autoSpaceDE w:val="0"/>
        <w:autoSpaceDN w:val="0"/>
        <w:adjustRightInd w:val="0"/>
        <w:jc w:val="both"/>
        <w:rPr>
          <w:rFonts w:ascii="Arial Nova" w:hAnsi="Arial Nova" w:cs="Arial Nova"/>
          <w:color w:val="000000"/>
          <w:kern w:val="0"/>
          <w:sz w:val="18"/>
          <w:szCs w:val="18"/>
        </w:rPr>
      </w:pPr>
    </w:p>
    <w:p w14:paraId="50FA0E70" w14:textId="107A2570" w:rsidR="006C61CF" w:rsidRPr="006C61CF" w:rsidRDefault="006C61CF" w:rsidP="006C61CF">
      <w:pPr>
        <w:autoSpaceDE w:val="0"/>
        <w:autoSpaceDN w:val="0"/>
        <w:adjustRightInd w:val="0"/>
        <w:jc w:val="both"/>
        <w:rPr>
          <w:rFonts w:ascii="Arial Nova" w:hAnsi="Arial Nova" w:cs="Arial Nova"/>
          <w:color w:val="000000"/>
          <w:kern w:val="0"/>
          <w:sz w:val="18"/>
          <w:szCs w:val="18"/>
        </w:rPr>
      </w:pPr>
      <w:r w:rsidRPr="006C61CF">
        <w:rPr>
          <w:rFonts w:ascii="Arial Nova" w:hAnsi="Arial Nova" w:cs="Arial Nova"/>
          <w:color w:val="000000"/>
          <w:kern w:val="0"/>
          <w:sz w:val="18"/>
          <w:szCs w:val="18"/>
        </w:rPr>
        <w:t xml:space="preserve">UWAGA! Zamawiający </w:t>
      </w:r>
      <w:r w:rsidRPr="006C61CF">
        <w:rPr>
          <w:rFonts w:ascii="Arial Nova" w:hAnsi="Arial Nova" w:cs="Arial Nova"/>
          <w:b/>
          <w:bCs/>
          <w:color w:val="000000"/>
          <w:kern w:val="0"/>
          <w:sz w:val="18"/>
          <w:szCs w:val="18"/>
        </w:rPr>
        <w:t xml:space="preserve">nie wymaga </w:t>
      </w:r>
      <w:r w:rsidRPr="006C61CF">
        <w:rPr>
          <w:rFonts w:ascii="Arial Nova" w:hAnsi="Arial Nova" w:cs="Arial Nova"/>
          <w:color w:val="000000"/>
          <w:kern w:val="0"/>
          <w:sz w:val="18"/>
          <w:szCs w:val="18"/>
        </w:rPr>
        <w:t>załączenia do oferty wyżej wymienionych dokumentów i oświadczeń</w:t>
      </w:r>
      <w:r>
        <w:rPr>
          <w:rFonts w:ascii="Arial Nova" w:hAnsi="Arial Nova" w:cs="Arial Nova"/>
          <w:color w:val="000000"/>
          <w:kern w:val="0"/>
          <w:sz w:val="18"/>
          <w:szCs w:val="18"/>
        </w:rPr>
        <w:t xml:space="preserve"> dotyczących </w:t>
      </w:r>
      <w:r w:rsidR="00FF6B62">
        <w:rPr>
          <w:rFonts w:ascii="Arial Nova" w:hAnsi="Arial Nova" w:cs="Arial Nova"/>
          <w:color w:val="000000"/>
          <w:kern w:val="0"/>
          <w:sz w:val="18"/>
          <w:szCs w:val="18"/>
        </w:rPr>
        <w:t xml:space="preserve">wszelkich </w:t>
      </w:r>
      <w:r>
        <w:rPr>
          <w:rFonts w:ascii="Arial Nova" w:hAnsi="Arial Nova" w:cs="Arial Nova"/>
          <w:color w:val="000000"/>
          <w:kern w:val="0"/>
          <w:sz w:val="18"/>
          <w:szCs w:val="18"/>
        </w:rPr>
        <w:t>certyfikatów</w:t>
      </w:r>
      <w:r w:rsidRPr="006C61CF">
        <w:rPr>
          <w:rFonts w:ascii="Arial Nova" w:hAnsi="Arial Nova" w:cs="Arial Nova"/>
          <w:color w:val="000000"/>
          <w:kern w:val="0"/>
          <w:sz w:val="18"/>
          <w:szCs w:val="18"/>
        </w:rPr>
        <w:t xml:space="preserve">. Wybrany w postępowaniu Wykonawca przed podpisaniem umowy zobowiązany będzie przedstawić wyżej wymienione oświadczenia i dokumenty. </w:t>
      </w:r>
    </w:p>
    <w:p w14:paraId="4763085D" w14:textId="3D44C422" w:rsidR="003446D0" w:rsidRDefault="003446D0">
      <w:pPr>
        <w:rPr>
          <w:rFonts w:ascii="Avenir Book" w:hAnsi="Avenir Book"/>
          <w:sz w:val="22"/>
          <w:szCs w:val="22"/>
        </w:rPr>
      </w:pPr>
    </w:p>
    <w:tbl>
      <w:tblPr>
        <w:tblStyle w:val="TableGrid"/>
        <w:tblW w:w="13914" w:type="dxa"/>
        <w:tblInd w:w="-27" w:type="dxa"/>
        <w:tblCellMar>
          <w:top w:w="47" w:type="dxa"/>
          <w:right w:w="115" w:type="dxa"/>
        </w:tblCellMar>
        <w:tblLook w:val="04A0" w:firstRow="1" w:lastRow="0" w:firstColumn="1" w:lastColumn="0" w:noHBand="0" w:noVBand="1"/>
      </w:tblPr>
      <w:tblGrid>
        <w:gridCol w:w="13914"/>
      </w:tblGrid>
      <w:tr w:rsidR="00CD3126" w14:paraId="32107E77" w14:textId="77777777" w:rsidTr="008534B0">
        <w:trPr>
          <w:trHeight w:val="292"/>
        </w:trPr>
        <w:tc>
          <w:tcPr>
            <w:tcW w:w="13914" w:type="dxa"/>
            <w:tcBorders>
              <w:top w:val="dashSmallGap" w:sz="4" w:space="0" w:color="000000"/>
              <w:left w:val="dashSmallGap" w:sz="4" w:space="0" w:color="000000"/>
              <w:bottom w:val="dashSmallGap" w:sz="4" w:space="0" w:color="000000"/>
              <w:right w:val="dashSmallGap" w:sz="4" w:space="0" w:color="000000"/>
            </w:tcBorders>
            <w:shd w:val="clear" w:color="auto" w:fill="FFFFFF" w:themeFill="background1"/>
          </w:tcPr>
          <w:p w14:paraId="48CB15CF" w14:textId="19F97B90" w:rsidR="00CD3126" w:rsidRPr="00BE6E64" w:rsidRDefault="00CD3126" w:rsidP="00B85CEA">
            <w:pPr>
              <w:spacing w:line="259" w:lineRule="auto"/>
              <w:jc w:val="center"/>
              <w:rPr>
                <w:b/>
              </w:rPr>
            </w:pPr>
            <w:r w:rsidRPr="00BE6E64">
              <w:rPr>
                <w:b/>
                <w:highlight w:val="yellow"/>
              </w:rPr>
              <w:t>A. ZASADY RÓWNOWAŻNOŚCI ROZWIĄZAŃ</w:t>
            </w:r>
          </w:p>
        </w:tc>
      </w:tr>
    </w:tbl>
    <w:p w14:paraId="3DD07405" w14:textId="77777777" w:rsidR="003446D0" w:rsidRDefault="003446D0" w:rsidP="003446D0">
      <w:pPr>
        <w:numPr>
          <w:ilvl w:val="0"/>
          <w:numId w:val="47"/>
        </w:numPr>
        <w:spacing w:after="26" w:line="262" w:lineRule="auto"/>
        <w:ind w:hanging="362"/>
        <w:jc w:val="both"/>
      </w:pPr>
      <w:r>
        <w:rPr>
          <w:b/>
        </w:rPr>
        <w:t>równoważność</w:t>
      </w:r>
      <w:r>
        <w:t xml:space="preserve"> - rozwiązanie o tym samym przeznaczeniu, cechach technicznych, jakościowych i funkcjonalnych odpowiadających cechom technicznym, jakościowym i funkcjonalnym wskazanych w opisie przedmiotu zamówienia, lub lepszych, oznaczonych innym znakiem towarowym, patentem lub pochodzeniem; </w:t>
      </w:r>
    </w:p>
    <w:p w14:paraId="3E07765D" w14:textId="228A59BD" w:rsidR="00B66A1F" w:rsidRDefault="003446D0" w:rsidP="003446D0">
      <w:pPr>
        <w:numPr>
          <w:ilvl w:val="0"/>
          <w:numId w:val="47"/>
        </w:numPr>
        <w:spacing w:after="26" w:line="262" w:lineRule="auto"/>
        <w:ind w:hanging="362"/>
        <w:jc w:val="both"/>
      </w:pPr>
      <w:r>
        <w:t xml:space="preserve">Zamawiający dopuszcza zaoferowanie rozwiązań równoważnych w stosunku do wskazanych w </w:t>
      </w:r>
      <w:r w:rsidRPr="00CD3126">
        <w:rPr>
          <w:u w:val="single" w:color="000000"/>
        </w:rPr>
        <w:t>załączniku</w:t>
      </w:r>
      <w:r w:rsidRPr="00CD3126">
        <w:rPr>
          <w:u w:val="single"/>
        </w:rPr>
        <w:t xml:space="preserve"> </w:t>
      </w:r>
      <w:r w:rsidRPr="00CD3126">
        <w:rPr>
          <w:u w:val="single" w:color="000000"/>
        </w:rPr>
        <w:t>n</w:t>
      </w:r>
      <w:r>
        <w:rPr>
          <w:u w:val="single" w:color="000000"/>
        </w:rPr>
        <w:t>r 8</w:t>
      </w:r>
      <w:r w:rsidR="009E6490">
        <w:rPr>
          <w:u w:val="single" w:color="000000"/>
        </w:rPr>
        <w:t>B</w:t>
      </w:r>
      <w:r>
        <w:rPr>
          <w:u w:val="single" w:color="000000"/>
        </w:rPr>
        <w:t xml:space="preserve"> do SWZ</w:t>
      </w:r>
      <w:r>
        <w:t xml:space="preserve"> pod warunkiem, że zagwarantują one realizację dostaw i zapewnią uzyskanie parametrów technicznych nie gorszych od wskazanych w </w:t>
      </w:r>
      <w:r>
        <w:rPr>
          <w:u w:val="single" w:color="000000"/>
        </w:rPr>
        <w:t>załączniku nr 8</w:t>
      </w:r>
      <w:r w:rsidR="009E6490">
        <w:rPr>
          <w:u w:val="single" w:color="000000"/>
        </w:rPr>
        <w:t>B</w:t>
      </w:r>
      <w:r>
        <w:rPr>
          <w:u w:val="single" w:color="000000"/>
        </w:rPr>
        <w:t xml:space="preserve"> do SWZ</w:t>
      </w:r>
      <w:r>
        <w:t xml:space="preserve"> oraz będą zgodne pod względem: </w:t>
      </w:r>
    </w:p>
    <w:p w14:paraId="0CC80115" w14:textId="6FDE4B9B" w:rsidR="00B66A1F" w:rsidRDefault="003446D0" w:rsidP="00B66A1F">
      <w:pPr>
        <w:spacing w:after="26" w:line="262" w:lineRule="auto"/>
        <w:ind w:left="705"/>
        <w:jc w:val="both"/>
      </w:pPr>
      <w:r>
        <w:t xml:space="preserve">a) gabarytów i konstrukcji (wielkość, rodzaj, właściwości fizyczne oraz liczba elementów składowych), </w:t>
      </w:r>
    </w:p>
    <w:p w14:paraId="00FFC707" w14:textId="1179E80D" w:rsidR="003446D0" w:rsidRDefault="003446D0" w:rsidP="00B66A1F">
      <w:pPr>
        <w:spacing w:after="26" w:line="262" w:lineRule="auto"/>
        <w:ind w:left="705"/>
        <w:jc w:val="both"/>
      </w:pPr>
      <w:r>
        <w:t xml:space="preserve">b) charakteru użytkowego (tożsamość funkcji), </w:t>
      </w:r>
    </w:p>
    <w:p w14:paraId="6F82F789" w14:textId="77777777" w:rsidR="003446D0" w:rsidRDefault="003446D0" w:rsidP="003446D0">
      <w:pPr>
        <w:numPr>
          <w:ilvl w:val="1"/>
          <w:numId w:val="47"/>
        </w:numPr>
        <w:spacing w:after="26" w:line="262" w:lineRule="auto"/>
        <w:ind w:hanging="358"/>
        <w:jc w:val="both"/>
      </w:pPr>
      <w:r>
        <w:t xml:space="preserve">charakterystyki materiałowej (rodzaj i jakość materiałów), </w:t>
      </w:r>
    </w:p>
    <w:p w14:paraId="0E5F321E" w14:textId="77777777" w:rsidR="003446D0" w:rsidRDefault="003446D0" w:rsidP="003446D0">
      <w:pPr>
        <w:numPr>
          <w:ilvl w:val="1"/>
          <w:numId w:val="47"/>
        </w:numPr>
        <w:spacing w:after="26" w:line="262" w:lineRule="auto"/>
        <w:ind w:hanging="358"/>
        <w:jc w:val="both"/>
      </w:pPr>
      <w:r>
        <w:t xml:space="preserve">parametrów technicznych (wytrzymałość, trwałość, dane techniczne, charakterystyki liniowe, konstrukcje itd.), </w:t>
      </w:r>
    </w:p>
    <w:p w14:paraId="751264C3" w14:textId="77777777" w:rsidR="003446D0" w:rsidRDefault="003446D0" w:rsidP="003446D0">
      <w:pPr>
        <w:numPr>
          <w:ilvl w:val="1"/>
          <w:numId w:val="47"/>
        </w:numPr>
        <w:spacing w:after="26" w:line="262" w:lineRule="auto"/>
        <w:ind w:hanging="358"/>
        <w:jc w:val="both"/>
      </w:pPr>
      <w:r>
        <w:t xml:space="preserve">parametrów bezpieczeństwa użytkowania, </w:t>
      </w:r>
    </w:p>
    <w:p w14:paraId="5DB09210" w14:textId="103F0D7B" w:rsidR="003446D0" w:rsidRDefault="003446D0" w:rsidP="003446D0">
      <w:pPr>
        <w:numPr>
          <w:ilvl w:val="1"/>
          <w:numId w:val="47"/>
        </w:numPr>
        <w:spacing w:after="35" w:line="255" w:lineRule="auto"/>
        <w:ind w:hanging="358"/>
        <w:jc w:val="both"/>
      </w:pPr>
      <w:r>
        <w:t>standardów emisyjnych</w:t>
      </w:r>
      <w:r w:rsidR="00CD3126">
        <w:t>;</w:t>
      </w:r>
    </w:p>
    <w:p w14:paraId="59E04827" w14:textId="77777777" w:rsidR="003446D0" w:rsidRDefault="003446D0" w:rsidP="003446D0">
      <w:pPr>
        <w:numPr>
          <w:ilvl w:val="0"/>
          <w:numId w:val="47"/>
        </w:numPr>
        <w:spacing w:after="26" w:line="262" w:lineRule="auto"/>
        <w:ind w:hanging="362"/>
        <w:jc w:val="both"/>
      </w:pPr>
      <w:r>
        <w:t xml:space="preserve">rozwiązanie równoważne musi pozwalać na zrealizowanie zakładanego przez Zamawiającego celu poprzez parametry wydajnościowe i funkcjonalne, mające wpływ na skuteczność działania, takie same lub lepsze od wskazanych wymagań minimalnych; </w:t>
      </w:r>
    </w:p>
    <w:p w14:paraId="0C3CDFEE" w14:textId="77777777" w:rsidR="003446D0" w:rsidRDefault="003446D0" w:rsidP="003446D0">
      <w:pPr>
        <w:numPr>
          <w:ilvl w:val="0"/>
          <w:numId w:val="47"/>
        </w:numPr>
        <w:spacing w:after="26" w:line="262" w:lineRule="auto"/>
        <w:ind w:hanging="362"/>
        <w:jc w:val="both"/>
      </w:pPr>
      <w:r>
        <w:lastRenderedPageBreak/>
        <w:t xml:space="preserve">użycie w Szczegółowym Opisie Przedmiotu Zamówienia nazw rozwiązań, materiałów i urządzeń służy ustaleniu minimalnego standardu wykonania i określenia właściwości i wymogów technicznych założonych w dokumentacji technicznej dla projektowanych rozwiązań; </w:t>
      </w:r>
    </w:p>
    <w:p w14:paraId="1667662F" w14:textId="77777777" w:rsidR="003446D0" w:rsidRDefault="003446D0" w:rsidP="003446D0">
      <w:pPr>
        <w:numPr>
          <w:ilvl w:val="0"/>
          <w:numId w:val="47"/>
        </w:numPr>
        <w:spacing w:after="26" w:line="262" w:lineRule="auto"/>
        <w:ind w:hanging="362"/>
        <w:jc w:val="both"/>
      </w:pPr>
      <w:r>
        <w:t xml:space="preserve">Wykonawca zobligowany jest do wykazania, że oferowane rozwiązania równoważne spełnią zakładane wymagania minimalne; </w:t>
      </w:r>
    </w:p>
    <w:p w14:paraId="17C7DFCF" w14:textId="77777777" w:rsidR="003446D0" w:rsidRDefault="003446D0" w:rsidP="003446D0">
      <w:pPr>
        <w:numPr>
          <w:ilvl w:val="0"/>
          <w:numId w:val="47"/>
        </w:numPr>
        <w:spacing w:after="26" w:line="262" w:lineRule="auto"/>
        <w:ind w:hanging="362"/>
        <w:jc w:val="both"/>
      </w:pPr>
      <w:r>
        <w:t xml:space="preserve">użycie w dokumencie słowa „lub” oznacza, że przedmiot zamówienia musi posiadać wymaganą funkcjonalność, natomiast to Zamawiający czy użytkownik będzie miał wybór korzystania z tej funkcjonalności; </w:t>
      </w:r>
    </w:p>
    <w:p w14:paraId="69E1CDA8" w14:textId="77777777" w:rsidR="003446D0" w:rsidRDefault="003446D0" w:rsidP="003446D0">
      <w:pPr>
        <w:numPr>
          <w:ilvl w:val="0"/>
          <w:numId w:val="47"/>
        </w:numPr>
        <w:spacing w:after="26" w:line="262" w:lineRule="auto"/>
        <w:ind w:hanging="362"/>
        <w:jc w:val="both"/>
      </w:pPr>
      <w:r>
        <w:t xml:space="preserve">możliwość zaoferowania funkcji w sposób równoważny jest określone słowem „ewentualnie” albo w jasny sposób zakomunikowane przez Zamawiającego; </w:t>
      </w:r>
    </w:p>
    <w:p w14:paraId="169B8E7C" w14:textId="77777777" w:rsidR="003446D0" w:rsidRDefault="003446D0" w:rsidP="003446D0">
      <w:pPr>
        <w:numPr>
          <w:ilvl w:val="0"/>
          <w:numId w:val="47"/>
        </w:numPr>
        <w:spacing w:after="26" w:line="262" w:lineRule="auto"/>
        <w:ind w:hanging="362"/>
        <w:jc w:val="both"/>
      </w:pPr>
      <w:r>
        <w:t xml:space="preserve">wymagania przedstawione w dokumencie, jeśli nie wynikają z obowiązujących i uznawanych standardów (np. zasilanie 230V), są wymaganiami granicznymi; </w:t>
      </w:r>
    </w:p>
    <w:p w14:paraId="68B5E676" w14:textId="77777777" w:rsidR="003446D0" w:rsidRDefault="003446D0" w:rsidP="003446D0">
      <w:pPr>
        <w:numPr>
          <w:ilvl w:val="0"/>
          <w:numId w:val="47"/>
        </w:numPr>
        <w:spacing w:after="36" w:line="252" w:lineRule="auto"/>
        <w:ind w:hanging="362"/>
        <w:jc w:val="both"/>
      </w:pPr>
      <w:r>
        <w:rPr>
          <w:b/>
          <w:u w:val="single" w:color="000000"/>
        </w:rPr>
        <w:t>brak określenia „minimum” oznacza wymaganie na poziomie minimalnym, a Wykonawca może</w:t>
      </w:r>
      <w:r>
        <w:rPr>
          <w:b/>
        </w:rPr>
        <w:t xml:space="preserve"> </w:t>
      </w:r>
      <w:r>
        <w:rPr>
          <w:b/>
          <w:u w:val="single" w:color="000000"/>
        </w:rPr>
        <w:t>zaoferować rozwiązanie o lepszych parametrach;</w:t>
      </w:r>
    </w:p>
    <w:p w14:paraId="25573EA5" w14:textId="77777777" w:rsidR="003446D0" w:rsidRDefault="003446D0" w:rsidP="003446D0">
      <w:pPr>
        <w:numPr>
          <w:ilvl w:val="0"/>
          <w:numId w:val="47"/>
        </w:numPr>
        <w:spacing w:after="26" w:line="262" w:lineRule="auto"/>
        <w:ind w:hanging="362"/>
        <w:jc w:val="both"/>
      </w:pPr>
      <w:r>
        <w:t xml:space="preserve">w celu zachowania zasad neutralności technologicznej i konkurencyjności dopuszcza się rozwiązania równoważne do wyspecyfikowanych, przy czym za rozwiązanie równoważne uważa się takie rozwiązanie, które pod względem technologii, wydajności i funkcjonalności nie odbiega lub jest lepsze od technologii funkcjonalności i wydajności wyszczególnionych w rozwiązaniu wyspecyfikowanym; </w:t>
      </w:r>
    </w:p>
    <w:p w14:paraId="1F0B0A7F" w14:textId="77777777" w:rsidR="003446D0" w:rsidRDefault="003446D0" w:rsidP="003446D0">
      <w:pPr>
        <w:numPr>
          <w:ilvl w:val="0"/>
          <w:numId w:val="47"/>
        </w:numPr>
        <w:spacing w:after="26" w:line="262" w:lineRule="auto"/>
        <w:ind w:hanging="362"/>
        <w:jc w:val="both"/>
      </w:pPr>
      <w:r>
        <w:t>przez bardzo zbliżoną (podobną) wartość użytkową rozumie się podobne, z dopuszczeniem nieznacznych różnic niewpływających w żadnym stopniu na całokształt systemu, zachowanie oraz realizowanie podobnych funkcjonalności w danych warunkach, dla których to warunków rozwiązania te są dedykowane. Rozwiązanie równoważne musi zawierać dokumentację potwierdzającą, że spełnia wymagania funkcjonalne Zamawiającego, w tym wyniki porównań, testów czy możliwości oferowanych przez to rozwiązanie w odniesieniu do rozwiązania wyspecyfikowanego.</w:t>
      </w:r>
    </w:p>
    <w:p w14:paraId="059E79B7" w14:textId="77777777" w:rsidR="003446D0" w:rsidRDefault="003446D0" w:rsidP="003446D0">
      <w:pPr>
        <w:numPr>
          <w:ilvl w:val="0"/>
          <w:numId w:val="47"/>
        </w:numPr>
        <w:spacing w:after="26" w:line="262" w:lineRule="auto"/>
        <w:ind w:hanging="362"/>
        <w:jc w:val="both"/>
      </w:pPr>
      <w:r>
        <w:t xml:space="preserve">dostarczenie przez Wykonawcę rozwiązania równoważnego musi być zrealizowane w taki sposób, aby wymiana oprogramowania na równoważne nie zakłóciła bieżącej pracy Zamawiającego. W tym celu Wykonawca musi do oprogramowania równoważnego przenieść wszystkie dane niezbędne do prawidłowego działania nowych systemów, poinstruować użytkowników, tak aby nabyli umiejętność posługiwania się systemami, skonfigurować oprogramowanie, uwzględnić niezbędne wsparcie pracowników Wykonawcy w operacji uruchamiania oprogramowania w środowisku produkcyjnym itp.  </w:t>
      </w:r>
    </w:p>
    <w:p w14:paraId="2BB01136" w14:textId="77777777" w:rsidR="003446D0" w:rsidRDefault="003446D0" w:rsidP="003446D0">
      <w:pPr>
        <w:numPr>
          <w:ilvl w:val="0"/>
          <w:numId w:val="47"/>
        </w:numPr>
        <w:spacing w:after="26" w:line="262" w:lineRule="auto"/>
        <w:ind w:hanging="362"/>
        <w:jc w:val="both"/>
      </w:pPr>
      <w:r>
        <w:lastRenderedPageBreak/>
        <w:t xml:space="preserve">dodatkowo, wszędzie tam, gdzie zostało wskazane pochodzenie (marka, znak towarowy, producent, dostawca itp.) materiałów lub normy, aprobaty, specyfikacje i systemy, Zamawiający dopuszcza oferowanie sprzętu lub rozwiązań równoważnych pod warunkiem, że zapewnią uzyskanie parametrów technicznych takich samych lub lepszych niż wymagane przez Zamawiającego w SWZ. Zamawiający informuje, że w takiej sytuacji przedmiotowe zapisy są jedynie przykładowe i stanowią wskazanie dla Wykonawcy jakie cechy powinny posiadać składniki użyte do realizacji przedmiotu zamówienia. Zamawiający dopuszcza oferowanie materiałów lub urządzeń równoważnych. Materiały lub urządzenia pochodzące od konkretnych producentów określają minimalne parametry jakościowe i cechy użytkowe, a także jakościowe (m.in.: wymiary, skład, zastosowany materiał, kolor, odcień, przeznaczenie materiałów i urządzeń, estetyka itp.) jakim muszą odpowiadać materiały lub urządzenia oferowane przez Wykonawcę, aby zostały spełnione wymagania stawiane przez Zamawiającego. Operowanie przykładowymi nazwami producenta ma jedynie na celu doprecyzowanie poziomu oczekiwań Zamawiającego w stosunku do określonego rozwiązania. Posługiwanie się nazwami producentów/produktów ma wyłącznie charakter przykładowy. Zamawiający, wskazując oznaczenie konkretnego producenta (dostawcy), konkretny produkt lub materiały przy opisie przedmiotu zamówienia, dopuszcza jednocześnie produkty równoważne o parametrach jakościowych i cechach użytkowych co najmniej na poziomie parametrów wskazanego produktu, uznając tym samym każdy produkt o wskazanych lub lepszych parametrach.  </w:t>
      </w:r>
    </w:p>
    <w:p w14:paraId="1C911325" w14:textId="77777777" w:rsidR="003446D0" w:rsidRDefault="003446D0" w:rsidP="003446D0">
      <w:pPr>
        <w:numPr>
          <w:ilvl w:val="0"/>
          <w:numId w:val="47"/>
        </w:numPr>
        <w:spacing w:line="262" w:lineRule="auto"/>
        <w:ind w:hanging="362"/>
        <w:jc w:val="both"/>
      </w:pPr>
      <w:r>
        <w:t xml:space="preserve">Wykonawca, który powołuje się na rozwiązania równoważne opisywanym przez Zamawiającego, jest obowiązany wykazać, że oferowane przez niego rozwiązania spełniają wymagania określone przez Zamawiającego oraz zwrócić się z zapytaniem czy Zamawiający uzna zaproponowane rozwiązania za równoważne. W takiej sytuacji Zamawiający wymaga złożenia stosownych dokumentów, uwiarygodniających te rozwiązania.  </w:t>
      </w:r>
    </w:p>
    <w:p w14:paraId="1905C3FB" w14:textId="77777777" w:rsidR="00BE6E64" w:rsidRDefault="00BE6E64" w:rsidP="00BE6E64">
      <w:pPr>
        <w:spacing w:line="262" w:lineRule="auto"/>
        <w:ind w:left="705"/>
        <w:jc w:val="both"/>
      </w:pPr>
    </w:p>
    <w:p w14:paraId="5E04623F" w14:textId="1A55033A" w:rsidR="003446D0" w:rsidRDefault="00CD3126" w:rsidP="0006446C">
      <w:pPr>
        <w:pBdr>
          <w:top w:val="dashSmallGap" w:sz="4" w:space="1" w:color="000000"/>
          <w:left w:val="dashSmallGap" w:sz="4" w:space="4" w:color="000000"/>
          <w:bottom w:val="dashSmallGap" w:sz="4" w:space="1" w:color="000000"/>
          <w:right w:val="dashSmallGap" w:sz="4" w:space="4" w:color="000000"/>
        </w:pBdr>
        <w:spacing w:after="289" w:line="259" w:lineRule="auto"/>
        <w:ind w:left="358"/>
        <w:jc w:val="center"/>
      </w:pPr>
      <w:r w:rsidRPr="00BE6E64">
        <w:rPr>
          <w:b/>
          <w:highlight w:val="yellow"/>
        </w:rPr>
        <w:t>B</w:t>
      </w:r>
      <w:r w:rsidR="003446D0" w:rsidRPr="00BE6E64">
        <w:rPr>
          <w:b/>
          <w:highlight w:val="yellow"/>
        </w:rPr>
        <w:t>. WYMOGI WSPÓLNE ODNOSZĄCE SIĘ DO PRZEDMIOTU ZAMÓWIENIA</w:t>
      </w:r>
    </w:p>
    <w:p w14:paraId="6939ED44" w14:textId="733071F8" w:rsidR="003446D0" w:rsidRDefault="003446D0" w:rsidP="003446D0">
      <w:pPr>
        <w:numPr>
          <w:ilvl w:val="0"/>
          <w:numId w:val="48"/>
        </w:numPr>
        <w:spacing w:after="35" w:line="255" w:lineRule="auto"/>
        <w:ind w:hanging="360"/>
        <w:jc w:val="both"/>
      </w:pPr>
      <w:r>
        <w:t>Przedmiot zamówienia obejmuje dostawę fabrycznie nowych urządzeń/produktów/oprogramowania wraz niezbędnym okablowaniem, o parametrach nie gorszych niż wskazanyc</w:t>
      </w:r>
      <w:r w:rsidR="0098730E">
        <w:t>h.</w:t>
      </w:r>
      <w:r>
        <w:t xml:space="preserve">  </w:t>
      </w:r>
    </w:p>
    <w:p w14:paraId="6E50367F" w14:textId="77777777" w:rsidR="003446D0" w:rsidRDefault="003446D0" w:rsidP="003446D0">
      <w:pPr>
        <w:numPr>
          <w:ilvl w:val="0"/>
          <w:numId w:val="48"/>
        </w:numPr>
        <w:spacing w:after="26" w:line="262" w:lineRule="auto"/>
        <w:ind w:hanging="360"/>
        <w:jc w:val="both"/>
      </w:pPr>
      <w:r>
        <w:t xml:space="preserve">Przez fabrycznie nowe </w:t>
      </w:r>
      <w:r>
        <w:rPr>
          <w:b/>
          <w:u w:val="single" w:color="000000"/>
        </w:rPr>
        <w:t>oznacza - dopiero co zrobiony, nie używany, nie zniszczony, niedawno nabyty,</w:t>
      </w:r>
      <w:r>
        <w:rPr>
          <w:b/>
        </w:rPr>
        <w:t xml:space="preserve"> </w:t>
      </w:r>
      <w:r>
        <w:rPr>
          <w:b/>
          <w:u w:val="single" w:color="000000"/>
        </w:rPr>
        <w:t xml:space="preserve">świeżo powstały, nie </w:t>
      </w:r>
      <w:proofErr w:type="spellStart"/>
      <w:r>
        <w:rPr>
          <w:b/>
          <w:u w:val="single" w:color="000000"/>
        </w:rPr>
        <w:t>refabrykowany</w:t>
      </w:r>
      <w:proofErr w:type="spellEnd"/>
      <w:r>
        <w:t>,</w:t>
      </w:r>
      <w:r>
        <w:rPr>
          <w:b/>
          <w:u w:val="single" w:color="000000"/>
        </w:rPr>
        <w:t xml:space="preserve"> fabrycznie zapakowany bez ingerencji podmiotów trzecich.</w:t>
      </w:r>
      <w:r>
        <w:rPr>
          <w:b/>
        </w:rPr>
        <w:t xml:space="preserve"> </w:t>
      </w:r>
      <w:r>
        <w:t xml:space="preserve">Jednocześnie Zamawiający wyjaśnia, że przez podmioty </w:t>
      </w:r>
      <w:r>
        <w:lastRenderedPageBreak/>
        <w:t xml:space="preserve">trzecie rozumie podmioty nie będące autoryzowanym serwisem oferowanych urządzeń lub partnerem serwisowym oferowanych urządzeń w szczególności komputerów, co potwierdzają wymogi dotyczące gwarancji określone w tabeli, a pozostające w zgodności z wytycznymi Urzędu Zamówień Publicznych. Podmioty, o których mowa wyżej dokonują modyfikacji podstawowych konfiguracji zgodnie z informacjami w kartach katalogowych bez utraty gwarancji czy też wstawiania części niewiadomego pochodzenia nie zawsze kompatybilne z oferowanym modelem danego urządzenia. Przykład: zamawiający uzna komputer za </w:t>
      </w:r>
      <w:r>
        <w:rPr>
          <w:color w:val="2C363A"/>
        </w:rPr>
        <w:t xml:space="preserve">fabrycznie zapakowany bez ingerencji podmiotów trzecich, jeżeli zwiększenie pamięci RAM zostanie dokonane przez </w:t>
      </w:r>
      <w:r>
        <w:t xml:space="preserve">autoryzowany serwis oferowanych komputerów lub partnera serwisowego oferowanych komputerów przy jednoczesnym braku utraty gwarancji producenta.  </w:t>
      </w:r>
    </w:p>
    <w:p w14:paraId="16479C74" w14:textId="77777777" w:rsidR="003446D0" w:rsidRDefault="003446D0" w:rsidP="003446D0">
      <w:pPr>
        <w:numPr>
          <w:ilvl w:val="0"/>
          <w:numId w:val="48"/>
        </w:numPr>
        <w:spacing w:after="26" w:line="262" w:lineRule="auto"/>
        <w:ind w:hanging="360"/>
        <w:jc w:val="both"/>
      </w:pPr>
      <w:r>
        <w:t xml:space="preserve">Dostarczone urządzenia/produkty/oprogramowania muszą posiadać instrukcję obsługi w języku polskim;  </w:t>
      </w:r>
    </w:p>
    <w:p w14:paraId="5449BA6C" w14:textId="12FBF5E5" w:rsidR="003446D0" w:rsidRDefault="003446D0" w:rsidP="003446D0">
      <w:pPr>
        <w:numPr>
          <w:ilvl w:val="0"/>
          <w:numId w:val="48"/>
        </w:numPr>
        <w:spacing w:after="26" w:line="262" w:lineRule="auto"/>
        <w:ind w:hanging="360"/>
        <w:jc w:val="both"/>
      </w:pPr>
      <w:r>
        <w:t xml:space="preserve">Dostarczone produkty/urządzenia muszą być nieużywane przed dniem dostarczenia z wyłączeniem używania niezbędnego dla przeprowadzenia testu ich poprawnej pracy.  </w:t>
      </w:r>
    </w:p>
    <w:p w14:paraId="2B81A87D" w14:textId="4A496CBC" w:rsidR="003446D0" w:rsidRDefault="003446D0" w:rsidP="003446D0">
      <w:pPr>
        <w:numPr>
          <w:ilvl w:val="0"/>
          <w:numId w:val="48"/>
        </w:numPr>
        <w:spacing w:after="26" w:line="262" w:lineRule="auto"/>
        <w:ind w:hanging="360"/>
        <w:jc w:val="both"/>
      </w:pPr>
      <w:r>
        <w:t>Dostarczone produkty/urządzenia/sprzęt/oprogramowanie muszą być kompletne i sprawne technicznie, wolne od wad fizycznych i prawnych oraz pochodzić z oficjalnego kanału sprzedaży producenta na rynek Unii Europejskiej</w:t>
      </w:r>
      <w:r w:rsidR="00CD3126">
        <w:t>;</w:t>
      </w:r>
    </w:p>
    <w:p w14:paraId="2829826D" w14:textId="77777777" w:rsidR="003446D0" w:rsidRDefault="003446D0" w:rsidP="003446D0">
      <w:pPr>
        <w:numPr>
          <w:ilvl w:val="0"/>
          <w:numId w:val="48"/>
        </w:numPr>
        <w:spacing w:after="26" w:line="262" w:lineRule="auto"/>
        <w:ind w:hanging="360"/>
        <w:jc w:val="both"/>
      </w:pPr>
      <w:r>
        <w:t xml:space="preserve">Do wszystkich urządzeń/produktów/sprzętu należy dołączyć wszystkie akcesoria, tonery, przewody i kable niezbędne do ich prawidłowego użytkowania (np. kabel zasilający, kable USB itd.); </w:t>
      </w:r>
    </w:p>
    <w:p w14:paraId="5B7D6038" w14:textId="77777777" w:rsidR="003446D0" w:rsidRDefault="003446D0" w:rsidP="003446D0">
      <w:pPr>
        <w:numPr>
          <w:ilvl w:val="0"/>
          <w:numId w:val="48"/>
        </w:numPr>
        <w:spacing w:after="26" w:line="262" w:lineRule="auto"/>
        <w:ind w:hanging="360"/>
        <w:jc w:val="both"/>
      </w:pPr>
      <w:r>
        <w:t xml:space="preserve">Wykonawca zobowiązuje się na czas trwania gwarancji do nieodpłatnego usuwania zgłaszanych wad lub usterek na zasadach określonych we wzorze umowy; </w:t>
      </w:r>
    </w:p>
    <w:p w14:paraId="73E12F43" w14:textId="77777777" w:rsidR="003446D0" w:rsidRDefault="003446D0" w:rsidP="003446D0">
      <w:pPr>
        <w:numPr>
          <w:ilvl w:val="0"/>
          <w:numId w:val="48"/>
        </w:numPr>
        <w:spacing w:after="26" w:line="262" w:lineRule="auto"/>
        <w:ind w:hanging="360"/>
        <w:jc w:val="both"/>
      </w:pPr>
      <w:r>
        <w:t xml:space="preserve">Wykonawca zapewni dostęp do pomocy technicznej, umożliwiającej zgłaszanie wad lub usterek za pomocą Internetu lub telefonicznie; </w:t>
      </w:r>
    </w:p>
    <w:p w14:paraId="20DF2543" w14:textId="77777777" w:rsidR="003446D0" w:rsidRDefault="003446D0" w:rsidP="003446D0">
      <w:pPr>
        <w:numPr>
          <w:ilvl w:val="0"/>
          <w:numId w:val="48"/>
        </w:numPr>
        <w:spacing w:after="26" w:line="262" w:lineRule="auto"/>
        <w:ind w:hanging="360"/>
        <w:jc w:val="both"/>
      </w:pPr>
      <w:r>
        <w:t xml:space="preserve">Wykonawca wraz ze sprzętem/produktami/urządzeniami/oprogramowaniem dostarczy listę numerów seryjnych/licencji dostarczonego przedmiotu umowy poprzez wpisanie ich do Protokołu Odbioru Jakościowego; </w:t>
      </w:r>
    </w:p>
    <w:p w14:paraId="2BA54200" w14:textId="77777777" w:rsidR="003446D0" w:rsidRDefault="003446D0" w:rsidP="003446D0">
      <w:pPr>
        <w:numPr>
          <w:ilvl w:val="0"/>
          <w:numId w:val="48"/>
        </w:numPr>
        <w:spacing w:after="26" w:line="262" w:lineRule="auto"/>
        <w:ind w:hanging="360"/>
        <w:jc w:val="both"/>
      </w:pPr>
      <w:r>
        <w:t xml:space="preserve">Wykonawca ponosi odpowiedzialność za braki i wady przedmiotu umowy powstałe w czasie transportu; </w:t>
      </w:r>
    </w:p>
    <w:p w14:paraId="7DE1B87D" w14:textId="77777777" w:rsidR="003446D0" w:rsidRDefault="003446D0" w:rsidP="003446D0">
      <w:pPr>
        <w:numPr>
          <w:ilvl w:val="0"/>
          <w:numId w:val="48"/>
        </w:numPr>
        <w:spacing w:after="26" w:line="262" w:lineRule="auto"/>
        <w:ind w:hanging="360"/>
        <w:jc w:val="both"/>
      </w:pPr>
      <w:r>
        <w:t xml:space="preserve">Wykonawca zobowiązany jest w cenie oferty uwzględnić koszty transportu (dostarczenia) do miejsca odbioru, rozładunku i wniesienia; </w:t>
      </w:r>
    </w:p>
    <w:p w14:paraId="576F7FFB" w14:textId="29EEE508" w:rsidR="003446D0" w:rsidRDefault="003446D0" w:rsidP="003446D0">
      <w:pPr>
        <w:numPr>
          <w:ilvl w:val="0"/>
          <w:numId w:val="48"/>
        </w:numPr>
        <w:spacing w:after="26" w:line="262" w:lineRule="auto"/>
        <w:ind w:hanging="360"/>
        <w:jc w:val="both"/>
      </w:pPr>
      <w:r>
        <w:t xml:space="preserve">Przedmiot zamówienia obejmuje również utrzymywanie porządku w czasie rozładunku prowadzonego na terenie obiektu, zabezpieczenie ścian, podłóg i otworów drzwiowych przed porysowaniem lub zniszczeniem, rozpakowywanie elementów wyposażenia i po zakończeniu </w:t>
      </w:r>
      <w:r>
        <w:lastRenderedPageBreak/>
        <w:t>dostawy, nadto usunięcia zbędnych opakowań z obiektu oraz ich utylizacja na swój koszt. Zamawiający nie zapewnia miejsca utylizacji opakowań i odpadów</w:t>
      </w:r>
      <w:r w:rsidR="00CD3126">
        <w:t>;</w:t>
      </w:r>
      <w:r>
        <w:t xml:space="preserve"> </w:t>
      </w:r>
    </w:p>
    <w:p w14:paraId="6B8DA1AA" w14:textId="269B5484" w:rsidR="003446D0" w:rsidRDefault="003446D0" w:rsidP="003446D0">
      <w:pPr>
        <w:numPr>
          <w:ilvl w:val="0"/>
          <w:numId w:val="48"/>
        </w:numPr>
        <w:spacing w:after="26" w:line="262" w:lineRule="auto"/>
        <w:ind w:hanging="360"/>
        <w:jc w:val="both"/>
      </w:pPr>
      <w:r>
        <w:t>Wykonawca ponosi odpowiedzialność za legalność dostarczanego oprogramowania na zasadach określonych w umowie oraz obowiązujących w tym zakresie przepisach w szczególności ustawy Kodeks cywilny. Wykonawca nie może dostarczać oprogramowania nielegalnego. Jeżeli oprogramowanie biurowe będzie fabrycznie zainstalowane przez producenta komputera to może być potwierdzone oryginalnymi atrybutami legalności, na przykład z tzw. naklejkami GML (</w:t>
      </w:r>
      <w:proofErr w:type="spellStart"/>
      <w:r>
        <w:t>Genuine</w:t>
      </w:r>
      <w:proofErr w:type="spellEnd"/>
      <w:r>
        <w:t xml:space="preserve"> Microsoft </w:t>
      </w:r>
      <w:proofErr w:type="spellStart"/>
      <w:r>
        <w:t>Label</w:t>
      </w:r>
      <w:proofErr w:type="spellEnd"/>
      <w:r>
        <w:t>) lub naklejkami COA (</w:t>
      </w:r>
      <w:proofErr w:type="spellStart"/>
      <w:r>
        <w:t>Certificate</w:t>
      </w:r>
      <w:proofErr w:type="spellEnd"/>
      <w:r>
        <w:t xml:space="preserve"> of </w:t>
      </w:r>
      <w:proofErr w:type="spellStart"/>
      <w:r>
        <w:t>Authenticity</w:t>
      </w:r>
      <w:proofErr w:type="spellEnd"/>
      <w:r>
        <w:t>) stosowanymi przez producenta sprzętu lub inną formą uwiarygodniania oryginalności wymaganą przez producenta oprogramowania stosowną w zależności od dostarczanej wersji. Wykonawca ponosi odpowiedzialność za legalność dostarczanego oprogramowania na zasadach określonych w umowie oraz obowiązujących w tym zakresie przepisach w szczególności ustawy Kodeks cywilny. Wykonawca nie może dostarczać oprogramowania nielegalnego</w:t>
      </w:r>
      <w:r w:rsidR="00CD3126">
        <w:t>;</w:t>
      </w:r>
    </w:p>
    <w:p w14:paraId="337FDCA9" w14:textId="3A624131" w:rsidR="003446D0" w:rsidRDefault="003446D0" w:rsidP="003446D0">
      <w:pPr>
        <w:numPr>
          <w:ilvl w:val="0"/>
          <w:numId w:val="48"/>
        </w:numPr>
        <w:spacing w:after="37" w:line="256" w:lineRule="auto"/>
        <w:ind w:hanging="360"/>
        <w:jc w:val="both"/>
      </w:pPr>
      <w:r>
        <w:t xml:space="preserve">Zamawiający wymaga się, aby oferowany przedmiot zamówienia (sprzęt, urządzenia produkty, wyposażenie) posiadały minimalny okres gwarancji wskazany w </w:t>
      </w:r>
      <w:r w:rsidR="00CD3126">
        <w:rPr>
          <w:b/>
        </w:rPr>
        <w:t>SWZ</w:t>
      </w:r>
      <w:r>
        <w:t xml:space="preserve"> dla poszczególnych elementów wchodzących w skład danej części zamówienia. </w:t>
      </w:r>
      <w:r>
        <w:rPr>
          <w:b/>
        </w:rPr>
        <w:t>Gwarancja stanowi kryterium oceny Zamawiający przyzna punkty za każdy zaoferowany dodatkowy miesiąc gwarancji w stosunku do minimalnego okresu (terminu) gwarancji wskazanego w poniższej tabeli; Patrz kryterium oceny ofert w SWZ.</w:t>
      </w:r>
      <w:r>
        <w:t xml:space="preserve"> </w:t>
      </w:r>
    </w:p>
    <w:p w14:paraId="4B411A6F" w14:textId="58E9E785" w:rsidR="003446D0" w:rsidRDefault="003446D0" w:rsidP="003446D0">
      <w:pPr>
        <w:numPr>
          <w:ilvl w:val="1"/>
          <w:numId w:val="48"/>
        </w:numPr>
        <w:spacing w:after="26" w:line="262" w:lineRule="auto"/>
        <w:ind w:hanging="360"/>
        <w:jc w:val="both"/>
      </w:pPr>
      <w:r>
        <w:t xml:space="preserve">Wykonawca w ofercie (formularz ofertowy załącznik </w:t>
      </w:r>
      <w:r>
        <w:rPr>
          <w:b/>
        </w:rPr>
        <w:t>1</w:t>
      </w:r>
      <w:r w:rsidR="004C6B30">
        <w:rPr>
          <w:b/>
        </w:rPr>
        <w:t>B</w:t>
      </w:r>
      <w:r>
        <w:t xml:space="preserve"> do SWZ wskaże producenta i model i/lub numer katalogowy oferowanych produktów i urządzeń oraz link </w:t>
      </w:r>
      <w:r>
        <w:rPr>
          <w:b/>
          <w:u w:val="single" w:color="000000"/>
        </w:rPr>
        <w:t>do stron</w:t>
      </w:r>
      <w:r>
        <w:rPr>
          <w:b/>
        </w:rPr>
        <w:t xml:space="preserve"> </w:t>
      </w:r>
      <w:r>
        <w:rPr>
          <w:b/>
          <w:u w:val="single" w:color="000000"/>
        </w:rPr>
        <w:t>internetowych</w:t>
      </w:r>
      <w:r w:rsidR="00CD3126">
        <w:rPr>
          <w:b/>
          <w:u w:val="single" w:color="000000"/>
        </w:rPr>
        <w:t xml:space="preserve"> </w:t>
      </w:r>
      <w:r>
        <w:t>(adresy stron WWW oferowanych urządzeń/produktów/</w:t>
      </w:r>
      <w:r w:rsidR="00CD3126">
        <w:t xml:space="preserve"> </w:t>
      </w:r>
      <w:r>
        <w:t>oprogramowania w celu wyeliminowania wątpliwości zalecana jest strona producenta) oferowanych produktów i urządzeń zawierającej kartę techniczną/</w:t>
      </w:r>
      <w:r w:rsidR="00CD3126">
        <w:t xml:space="preserve"> </w:t>
      </w:r>
      <w:r>
        <w:t xml:space="preserve">konfigurację,  </w:t>
      </w:r>
    </w:p>
    <w:p w14:paraId="1B9FE267" w14:textId="53570627" w:rsidR="003446D0" w:rsidRDefault="003446D0" w:rsidP="003446D0">
      <w:pPr>
        <w:numPr>
          <w:ilvl w:val="1"/>
          <w:numId w:val="48"/>
        </w:numPr>
        <w:spacing w:after="35" w:line="255" w:lineRule="auto"/>
        <w:ind w:hanging="360"/>
        <w:jc w:val="both"/>
      </w:pPr>
      <w:r>
        <w:t xml:space="preserve">w przypadku braku linku </w:t>
      </w:r>
      <w:r>
        <w:rPr>
          <w:b/>
        </w:rPr>
        <w:t xml:space="preserve">do strony internetowej </w:t>
      </w:r>
      <w:r>
        <w:t xml:space="preserve">oferowanego produktu/urządzenia np. w przypadku występowania pod numerem modelu różnych konfiguracji, Zamawiający zamiast linków żąda dołączenia do oferty innych przedmiotowych środków dowodowych (w szczególności: </w:t>
      </w:r>
      <w:r>
        <w:rPr>
          <w:i/>
        </w:rPr>
        <w:t xml:space="preserve">karta katalogowa, specyfikacja techniczna, dokumentacja licencyjna, dokumentacja oprogramowania lub oświadczenie producenta urządzenia lub inne przedmiotowe środki dowodowe, z których wynika sposób spełnienia danego wymagania. Wymienione dokumenty muszą zawierać nazwę producenta i model) </w:t>
      </w:r>
      <w:r>
        <w:t>zawierających szczegółową konfigurację oferowanych urządzeń. W takim przypadku w kol. 5 z</w:t>
      </w:r>
      <w:r w:rsidR="004C6B30">
        <w:t>a</w:t>
      </w:r>
      <w:bookmarkStart w:id="1" w:name="_GoBack"/>
      <w:bookmarkEnd w:id="1"/>
      <w:r>
        <w:t xml:space="preserve">łącznika nr </w:t>
      </w:r>
      <w:r w:rsidR="006B5304">
        <w:t>9</w:t>
      </w:r>
      <w:r w:rsidR="004C6B30">
        <w:t>B</w:t>
      </w:r>
      <w:r>
        <w:t xml:space="preserve"> do SWZ w miejscu „link do strony producenta oferowanego </w:t>
      </w:r>
      <w:r>
        <w:lastRenderedPageBreak/>
        <w:t xml:space="preserve">produktu” należy wpisać „zgodnie z załączoną kartą katalogową”. Powyższy wymóg ma na celu jednoznaczną identyfikację parametrów oferowanych produktów /urządzeń,  </w:t>
      </w:r>
    </w:p>
    <w:p w14:paraId="5FBD473B" w14:textId="77777777" w:rsidR="003446D0" w:rsidRDefault="003446D0" w:rsidP="003446D0">
      <w:pPr>
        <w:numPr>
          <w:ilvl w:val="1"/>
          <w:numId w:val="48"/>
        </w:numPr>
        <w:spacing w:after="26" w:line="262" w:lineRule="auto"/>
        <w:ind w:hanging="360"/>
        <w:jc w:val="both"/>
      </w:pPr>
      <w:r>
        <w:rPr>
          <w:b/>
        </w:rPr>
        <w:t>Uwaga!</w:t>
      </w:r>
      <w:r>
        <w:t xml:space="preserve"> Jako karta katalogowa lub inny przedmiotowy środek dowodowy nie może zostać złożony opis przedmiotu zamówienia Zamawiającego podpisany przez Wykonawcę,  </w:t>
      </w:r>
    </w:p>
    <w:p w14:paraId="7B629D03" w14:textId="2063ADC3" w:rsidR="003446D0" w:rsidRDefault="003446D0" w:rsidP="003446D0">
      <w:pPr>
        <w:numPr>
          <w:ilvl w:val="1"/>
          <w:numId w:val="48"/>
        </w:numPr>
        <w:spacing w:after="26" w:line="262" w:lineRule="auto"/>
        <w:ind w:hanging="360"/>
        <w:jc w:val="both"/>
      </w:pPr>
      <w:r>
        <w:t xml:space="preserve">brak podania w </w:t>
      </w:r>
      <w:r>
        <w:rPr>
          <w:b/>
        </w:rPr>
        <w:t xml:space="preserve">załączniku nr </w:t>
      </w:r>
      <w:r w:rsidR="0098730E">
        <w:rPr>
          <w:b/>
        </w:rPr>
        <w:t>9</w:t>
      </w:r>
      <w:r w:rsidR="004C6B30">
        <w:rPr>
          <w:b/>
        </w:rPr>
        <w:t>B</w:t>
      </w:r>
      <w:r>
        <w:rPr>
          <w:b/>
        </w:rPr>
        <w:t xml:space="preserve"> do SWZ</w:t>
      </w:r>
      <w:r>
        <w:t xml:space="preserve"> nazwy producenta i/ lub modelu i/lub numer katalogowy i linku do strony internetowej producenta oferowanego produktu/urządzenia zawierającej kartę techniczną oferowanych urządzeń i produktów po wezwaniu i nie uzupełnieniu ich spowoduje odrzucenie oferty na podstawie art. 226 ust. 1 pkt 5 ustawy Pzp.</w:t>
      </w:r>
      <w:r>
        <w:rPr>
          <w:b/>
        </w:rPr>
        <w:t xml:space="preserve"> </w:t>
      </w:r>
      <w:r>
        <w:t xml:space="preserve"> </w:t>
      </w:r>
    </w:p>
    <w:p w14:paraId="112E8297" w14:textId="1D2C47DD" w:rsidR="003446D0" w:rsidRDefault="003446D0" w:rsidP="003446D0">
      <w:pPr>
        <w:numPr>
          <w:ilvl w:val="0"/>
          <w:numId w:val="48"/>
        </w:numPr>
        <w:spacing w:after="37" w:line="256" w:lineRule="auto"/>
        <w:ind w:hanging="360"/>
        <w:jc w:val="both"/>
      </w:pPr>
      <w:r>
        <w:t xml:space="preserve">Zamawiający przez producenta, o którym mowa </w:t>
      </w:r>
      <w:r w:rsidRPr="0006446C">
        <w:t>ppkt 1</w:t>
      </w:r>
      <w:r w:rsidR="00B43D28" w:rsidRPr="0006446C">
        <w:t>4</w:t>
      </w:r>
      <w:r w:rsidRPr="0006446C">
        <w:t xml:space="preserve"> rozumie</w:t>
      </w:r>
      <w:r>
        <w:t xml:space="preserve"> podmiot, o którym mowa w art. 3 pkt 2 lit. a ustawy z dnia 12 grudnia 2003 r. o ogólnym bezpieczeństwie produktów (tekst jednolity Dz.U.2021.222) - dalej „</w:t>
      </w:r>
      <w:proofErr w:type="spellStart"/>
      <w:r>
        <w:t>uoBP</w:t>
      </w:r>
      <w:proofErr w:type="spellEnd"/>
      <w:r>
        <w:t xml:space="preserve">”. W przypadku, gdy wykonawca (dostawca) jest jednocześnie producentem w rozumieniu art. 3 pkt 2 lit. b i c </w:t>
      </w:r>
      <w:proofErr w:type="spellStart"/>
      <w:r>
        <w:t>uoBP</w:t>
      </w:r>
      <w:proofErr w:type="spellEnd"/>
      <w:r>
        <w:t xml:space="preserve">, wówczas w miejscu producent wpisuje producenta (zgodnie z art. 3 pkt 2 lit a </w:t>
      </w:r>
      <w:proofErr w:type="spellStart"/>
      <w:r>
        <w:t>uoBP</w:t>
      </w:r>
      <w:proofErr w:type="spellEnd"/>
      <w:r>
        <w:t xml:space="preserve"> oraz dane: przedstawiciela wytwórcy, a jeżeli wytwórca nie wyznaczył przedstawiciela - importera produkt, lub przedsiębiorcę uczestniczącego w dowolnym etapie procesu dostarczania lub udostępniania produktu, jeżeli jego działanie może wpływać na właściwości produktu związane z jego bezpieczeństwem (art. 3 pkt 2 lit. b i c </w:t>
      </w:r>
      <w:proofErr w:type="spellStart"/>
      <w:r>
        <w:t>uoBP</w:t>
      </w:r>
      <w:proofErr w:type="spellEnd"/>
      <w:r>
        <w:t xml:space="preserve">). </w:t>
      </w:r>
    </w:p>
    <w:p w14:paraId="5D3B6FA8" w14:textId="46923109" w:rsidR="001D47D2" w:rsidRDefault="001D47D2" w:rsidP="005D2550">
      <w:pPr>
        <w:numPr>
          <w:ilvl w:val="0"/>
          <w:numId w:val="48"/>
        </w:numPr>
        <w:spacing w:after="37" w:line="256" w:lineRule="auto"/>
        <w:ind w:hanging="360"/>
        <w:jc w:val="both"/>
      </w:pPr>
      <w:r>
        <w:t>Zamawiający informuje, że dostarczany sprzęt komputerowy</w:t>
      </w:r>
      <w:r w:rsidR="00244AA6">
        <w:t>, peryferyjny</w:t>
      </w:r>
      <w:r>
        <w:t xml:space="preserve"> </w:t>
      </w:r>
      <w:r w:rsidR="00244AA6">
        <w:t>w tym</w:t>
      </w:r>
      <w:r>
        <w:t xml:space="preserve"> oprogramowanie jest przeznaczony do celów edukacyjnych, o którym mowa w art. 83 ust. 1 pkt 26 ustawy z dnia 11</w:t>
      </w:r>
      <w:r w:rsidR="00244AA6">
        <w:t xml:space="preserve"> </w:t>
      </w:r>
      <w:r>
        <w:t>marca 2004 r. o podatku od towarów i usług. Zamawiający wystawi stosowne dokumenty, o których</w:t>
      </w:r>
      <w:r w:rsidR="00244AA6">
        <w:t xml:space="preserve"> </w:t>
      </w:r>
      <w:r>
        <w:t>mowa w art. 83 ust. 13-15 cytowanej ustawy</w:t>
      </w:r>
      <w:r w:rsidR="00244AA6">
        <w:t>.</w:t>
      </w:r>
    </w:p>
    <w:p w14:paraId="122518DB" w14:textId="77777777" w:rsidR="003446D0" w:rsidRPr="00463B92" w:rsidRDefault="003446D0">
      <w:pPr>
        <w:rPr>
          <w:rFonts w:ascii="Avenir Book" w:hAnsi="Avenir Book"/>
          <w:sz w:val="22"/>
          <w:szCs w:val="22"/>
        </w:rPr>
      </w:pPr>
    </w:p>
    <w:sectPr w:rsidR="003446D0" w:rsidRPr="00463B92" w:rsidSect="007F115F">
      <w:headerReference w:type="default" r:id="rId8"/>
      <w:pgSz w:w="16840" w:h="11900" w:orient="landscape"/>
      <w:pgMar w:top="1417" w:right="1417" w:bottom="1417" w:left="1417"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A8704" w14:textId="77777777" w:rsidR="0098270B" w:rsidRDefault="0098270B" w:rsidP="00FC0782">
      <w:r>
        <w:separator/>
      </w:r>
    </w:p>
  </w:endnote>
  <w:endnote w:type="continuationSeparator" w:id="0">
    <w:p w14:paraId="4F1FC881" w14:textId="77777777" w:rsidR="0098270B" w:rsidRDefault="0098270B" w:rsidP="00FC0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Book">
    <w:altName w:val="Tw Cen MT"/>
    <w:charset w:val="00"/>
    <w:family w:val="auto"/>
    <w:pitch w:val="variable"/>
    <w:sig w:usb0="800000AF" w:usb1="5000204A" w:usb2="00000000" w:usb3="00000000" w:csb0="0000009B"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Nova">
    <w:panose1 w:val="020B0504020202020204"/>
    <w:charset w:val="EE"/>
    <w:family w:val="swiss"/>
    <w:pitch w:val="variable"/>
    <w:sig w:usb0="2000028F" w:usb1="00000002" w:usb2="00000000" w:usb3="00000000" w:csb0="0000019F" w:csb1="00000000"/>
  </w:font>
  <w:font w:name="Cambria">
    <w:panose1 w:val="02040503050406030204"/>
    <w:charset w:val="EE"/>
    <w:family w:val="roman"/>
    <w:pitch w:val="variable"/>
    <w:sig w:usb0="E00006FF" w:usb1="420024FF" w:usb2="02000000" w:usb3="00000000" w:csb0="0000019F" w:csb1="00000000"/>
  </w:font>
  <w:font w:name="Microsoft Sans Serif">
    <w:panose1 w:val="020B0604020202020204"/>
    <w:charset w:val="EE"/>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3BA91" w14:textId="77777777" w:rsidR="0098270B" w:rsidRDefault="0098270B" w:rsidP="00FC0782">
      <w:r>
        <w:separator/>
      </w:r>
    </w:p>
  </w:footnote>
  <w:footnote w:type="continuationSeparator" w:id="0">
    <w:p w14:paraId="1F701DF2" w14:textId="77777777" w:rsidR="0098270B" w:rsidRDefault="0098270B" w:rsidP="00FC0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AD355" w14:textId="5BDA0B4A" w:rsidR="007F115F" w:rsidRDefault="007F115F" w:rsidP="007F115F">
    <w:pPr>
      <w:pStyle w:val="Nagwek"/>
      <w:jc w:val="center"/>
    </w:pPr>
    <w:r w:rsidRPr="00504A73">
      <w:rPr>
        <w:rFonts w:cs="Calibri"/>
        <w:noProof/>
      </w:rPr>
      <w:drawing>
        <wp:inline distT="0" distB="0" distL="0" distR="0" wp14:anchorId="56F0048D" wp14:editId="50EB79ED">
          <wp:extent cx="5939790" cy="569447"/>
          <wp:effectExtent l="0" t="0" r="0" b="0"/>
          <wp:docPr id="6" name="Obraz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569447"/>
                  </a:xfrm>
                  <a:prstGeom prst="rect">
                    <a:avLst/>
                  </a:prstGeom>
                  <a:noFill/>
                  <a:ln>
                    <a:noFill/>
                  </a:ln>
                </pic:spPr>
              </pic:pic>
            </a:graphicData>
          </a:graphic>
        </wp:inline>
      </w:drawing>
    </w:r>
  </w:p>
  <w:p w14:paraId="59A506A1" w14:textId="6648BD16" w:rsidR="007C087E" w:rsidRDefault="007C087E" w:rsidP="00B415A3">
    <w:pPr>
      <w:pStyle w:val="Nagwek"/>
      <w:jc w:val="right"/>
    </w:pPr>
    <w:r>
      <w:t>Załącznik nr 8</w:t>
    </w:r>
    <w:r w:rsidR="009E6490">
      <w:t>B</w:t>
    </w:r>
    <w:r>
      <w:t xml:space="preserve"> do SWZ</w:t>
    </w:r>
  </w:p>
  <w:p w14:paraId="27984532" w14:textId="30A2E8A1" w:rsidR="007C087E" w:rsidRDefault="00FB6D1A" w:rsidP="00B415A3">
    <w:pPr>
      <w:pStyle w:val="Nagwek"/>
    </w:pPr>
    <w:r w:rsidRPr="00FB6D1A">
      <w:t>ZSZiO.271.1.2024</w:t>
    </w:r>
  </w:p>
  <w:p w14:paraId="13CF989C" w14:textId="2DC410A0" w:rsidR="007C087E" w:rsidRDefault="007C087E" w:rsidP="00B415A3">
    <w:pPr>
      <w:pStyle w:val="Nagwek"/>
      <w:jc w:val="center"/>
      <w:rPr>
        <w:b/>
        <w:bCs/>
      </w:rPr>
    </w:pPr>
    <w:r>
      <w:rPr>
        <w:b/>
        <w:bCs/>
      </w:rPr>
      <w:t>Szczegółowy opis przedmiotu zamówienia</w:t>
    </w:r>
  </w:p>
  <w:p w14:paraId="2115E56A" w14:textId="2025FF36" w:rsidR="00BA02D3" w:rsidRPr="00B415A3" w:rsidRDefault="009312E4" w:rsidP="00B415A3">
    <w:pPr>
      <w:pStyle w:val="Nagwek"/>
      <w:jc w:val="center"/>
      <w:rPr>
        <w:b/>
        <w:bCs/>
      </w:rPr>
    </w:pPr>
    <w:r>
      <w:rPr>
        <w:rFonts w:ascii="Arial" w:eastAsia="Cambria" w:hAnsi="Arial" w:cs="Arial"/>
        <w:b/>
        <w:lang w:eastAsia="pl-PL" w:bidi="pl-PL"/>
      </w:rPr>
      <w:t>„</w:t>
    </w:r>
    <w:r w:rsidR="00BA02D3" w:rsidRPr="00C8748E">
      <w:rPr>
        <w:rFonts w:ascii="Arial" w:eastAsia="Cambria" w:hAnsi="Arial" w:cs="Arial"/>
        <w:b/>
        <w:lang w:eastAsia="pl-PL" w:bidi="pl-PL"/>
      </w:rPr>
      <w:t>Dostaw</w:t>
    </w:r>
    <w:r w:rsidR="00BA02D3">
      <w:rPr>
        <w:rFonts w:ascii="Arial" w:eastAsia="Cambria" w:hAnsi="Arial" w:cs="Arial"/>
        <w:b/>
        <w:lang w:eastAsia="pl-PL" w:bidi="pl-PL"/>
      </w:rPr>
      <w:t>a</w:t>
    </w:r>
    <w:r w:rsidR="00BA02D3" w:rsidRPr="00C8748E">
      <w:rPr>
        <w:rFonts w:ascii="Arial" w:eastAsia="Cambria" w:hAnsi="Arial" w:cs="Arial"/>
        <w:b/>
        <w:lang w:eastAsia="pl-PL" w:bidi="pl-PL"/>
      </w:rPr>
      <w:t xml:space="preserve"> </w:t>
    </w:r>
    <w:r w:rsidR="00BA02D3" w:rsidRPr="003A2CF2">
      <w:rPr>
        <w:rFonts w:ascii="Arial" w:eastAsia="Cambria" w:hAnsi="Arial" w:cs="Arial"/>
        <w:b/>
        <w:lang w:eastAsia="pl-PL" w:bidi="pl-PL"/>
      </w:rPr>
      <w:t xml:space="preserve">wyposażenia IT </w:t>
    </w:r>
    <w:r w:rsidR="00BA02D3" w:rsidRPr="00C8748E">
      <w:rPr>
        <w:rFonts w:ascii="Arial" w:eastAsia="Cambria" w:hAnsi="Arial" w:cs="Arial"/>
        <w:b/>
        <w:lang w:eastAsia="pl-PL" w:bidi="pl-PL"/>
      </w:rPr>
      <w:t>do siedziby Zamawiającego w projekcie</w:t>
    </w:r>
    <w:r w:rsidR="00BA02D3" w:rsidRPr="00C47CBF">
      <w:rPr>
        <w:rFonts w:ascii="Arial" w:eastAsia="Cambria" w:hAnsi="Arial" w:cs="Arial"/>
        <w:b/>
        <w:sz w:val="22"/>
        <w:szCs w:val="22"/>
        <w:lang w:eastAsia="pl-PL" w:bidi="pl-PL"/>
      </w:rPr>
      <w:t xml:space="preserve"> „</w:t>
    </w:r>
    <w:r w:rsidR="00C4355E" w:rsidRPr="00C4355E">
      <w:rPr>
        <w:rFonts w:ascii="Arial" w:eastAsia="Cambria" w:hAnsi="Arial" w:cs="Arial"/>
        <w:b/>
        <w:sz w:val="22"/>
        <w:szCs w:val="22"/>
        <w:lang w:eastAsia="pl-PL" w:bidi="pl-PL"/>
      </w:rPr>
      <w:t>Handlowiec przyszłości</w:t>
    </w:r>
    <w:r w:rsidR="00BA02D3" w:rsidRPr="00C47CBF">
      <w:rPr>
        <w:rFonts w:ascii="Arial" w:eastAsia="Cambria" w:hAnsi="Arial" w:cs="Arial"/>
        <w:b/>
        <w:sz w:val="22"/>
        <w:szCs w:val="22"/>
        <w:lang w:eastAsia="pl-PL" w:bidi="pl-PL"/>
      </w:rPr>
      <w:t>”</w:t>
    </w:r>
  </w:p>
  <w:p w14:paraId="5FE67BD3" w14:textId="77777777" w:rsidR="007C087E" w:rsidRDefault="007C087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E6B7D"/>
    <w:multiLevelType w:val="hybridMultilevel"/>
    <w:tmpl w:val="B1EC27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94E140E"/>
    <w:multiLevelType w:val="multilevel"/>
    <w:tmpl w:val="7E8AEA92"/>
    <w:lvl w:ilvl="0">
      <w:start w:val="1"/>
      <w:numFmt w:val="decimal"/>
      <w:lvlText w:val="%1."/>
      <w:lvlJc w:val="left"/>
      <w:pPr>
        <w:ind w:left="720" w:hanging="360"/>
      </w:pPr>
      <w:rPr>
        <w:rFonts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D46BB4"/>
    <w:multiLevelType w:val="multilevel"/>
    <w:tmpl w:val="7E8AEA92"/>
    <w:lvl w:ilvl="0">
      <w:start w:val="1"/>
      <w:numFmt w:val="decimal"/>
      <w:lvlText w:val="%1."/>
      <w:lvlJc w:val="left"/>
      <w:pPr>
        <w:ind w:left="720" w:hanging="360"/>
      </w:pPr>
      <w:rPr>
        <w:rFonts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5F80F44"/>
    <w:multiLevelType w:val="hybridMultilevel"/>
    <w:tmpl w:val="B1D8254C"/>
    <w:lvl w:ilvl="0" w:tplc="F4F05ACE">
      <w:numFmt w:val="bullet"/>
      <w:lvlText w:val="•"/>
      <w:lvlJc w:val="left"/>
      <w:pPr>
        <w:ind w:left="1060" w:hanging="700"/>
      </w:pPr>
      <w:rPr>
        <w:rFonts w:ascii="Avenir Book" w:eastAsiaTheme="minorHAnsi" w:hAnsi="Avenir Book"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6B857B2"/>
    <w:multiLevelType w:val="multilevel"/>
    <w:tmpl w:val="7E8AEA92"/>
    <w:lvl w:ilvl="0">
      <w:start w:val="1"/>
      <w:numFmt w:val="decimal"/>
      <w:lvlText w:val="%1."/>
      <w:lvlJc w:val="left"/>
      <w:pPr>
        <w:ind w:left="720" w:hanging="360"/>
      </w:pPr>
      <w:rPr>
        <w:rFonts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CD72DF9"/>
    <w:multiLevelType w:val="hybridMultilevel"/>
    <w:tmpl w:val="EEBAD9FC"/>
    <w:lvl w:ilvl="0" w:tplc="41305D7C">
      <w:start w:val="1"/>
      <w:numFmt w:val="bullet"/>
      <w:lvlText w:val="-"/>
      <w:lvlJc w:val="left"/>
      <w:pPr>
        <w:ind w:left="72"/>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D1205142">
      <w:start w:val="1"/>
      <w:numFmt w:val="bullet"/>
      <w:lvlText w:val="o"/>
      <w:lvlJc w:val="left"/>
      <w:pPr>
        <w:ind w:left="122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D98C5F2">
      <w:start w:val="1"/>
      <w:numFmt w:val="bullet"/>
      <w:lvlText w:val="▪"/>
      <w:lvlJc w:val="left"/>
      <w:pPr>
        <w:ind w:left="194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537C4854">
      <w:start w:val="1"/>
      <w:numFmt w:val="bullet"/>
      <w:lvlText w:val="•"/>
      <w:lvlJc w:val="left"/>
      <w:pPr>
        <w:ind w:left="266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352E9B92">
      <w:start w:val="1"/>
      <w:numFmt w:val="bullet"/>
      <w:lvlText w:val="o"/>
      <w:lvlJc w:val="left"/>
      <w:pPr>
        <w:ind w:left="338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A3C2DFC4">
      <w:start w:val="1"/>
      <w:numFmt w:val="bullet"/>
      <w:lvlText w:val="▪"/>
      <w:lvlJc w:val="left"/>
      <w:pPr>
        <w:ind w:left="410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0D385F38">
      <w:start w:val="1"/>
      <w:numFmt w:val="bullet"/>
      <w:lvlText w:val="•"/>
      <w:lvlJc w:val="left"/>
      <w:pPr>
        <w:ind w:left="482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49D02342">
      <w:start w:val="1"/>
      <w:numFmt w:val="bullet"/>
      <w:lvlText w:val="o"/>
      <w:lvlJc w:val="left"/>
      <w:pPr>
        <w:ind w:left="554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E0361D2A">
      <w:start w:val="1"/>
      <w:numFmt w:val="bullet"/>
      <w:lvlText w:val="▪"/>
      <w:lvlJc w:val="left"/>
      <w:pPr>
        <w:ind w:left="626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6" w15:restartNumberingAfterBreak="0">
    <w:nsid w:val="20174C35"/>
    <w:multiLevelType w:val="hybridMultilevel"/>
    <w:tmpl w:val="AE8E3260"/>
    <w:lvl w:ilvl="0" w:tplc="F4F05ACE">
      <w:numFmt w:val="bullet"/>
      <w:lvlText w:val="•"/>
      <w:lvlJc w:val="left"/>
      <w:pPr>
        <w:ind w:left="1060" w:hanging="700"/>
      </w:pPr>
      <w:rPr>
        <w:rFonts w:ascii="Avenir Book" w:eastAsiaTheme="minorHAnsi" w:hAnsi="Avenir Book"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32C7927"/>
    <w:multiLevelType w:val="multilevel"/>
    <w:tmpl w:val="98A80C6C"/>
    <w:lvl w:ilvl="0">
      <w:start w:val="1"/>
      <w:numFmt w:val="decimal"/>
      <w:lvlText w:val="%1."/>
      <w:lvlJc w:val="left"/>
      <w:pPr>
        <w:ind w:left="720" w:hanging="360"/>
      </w:pPr>
      <w:rPr>
        <w:rFonts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4823961"/>
    <w:multiLevelType w:val="hybridMultilevel"/>
    <w:tmpl w:val="765292A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15:restartNumberingAfterBreak="0">
    <w:nsid w:val="24F15FC2"/>
    <w:multiLevelType w:val="multilevel"/>
    <w:tmpl w:val="7E8AEA92"/>
    <w:lvl w:ilvl="0">
      <w:start w:val="1"/>
      <w:numFmt w:val="decimal"/>
      <w:lvlText w:val="%1."/>
      <w:lvlJc w:val="left"/>
      <w:pPr>
        <w:ind w:left="720" w:hanging="360"/>
      </w:pPr>
      <w:rPr>
        <w:rFonts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52F3061"/>
    <w:multiLevelType w:val="hybridMultilevel"/>
    <w:tmpl w:val="4DB82414"/>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452" w:hanging="360"/>
      </w:pPr>
      <w:rPr>
        <w:rFonts w:ascii="Courier New" w:hAnsi="Courier New" w:cs="Courier New" w:hint="default"/>
      </w:rPr>
    </w:lvl>
    <w:lvl w:ilvl="2" w:tplc="04150005" w:tentative="1">
      <w:start w:val="1"/>
      <w:numFmt w:val="bullet"/>
      <w:lvlText w:val=""/>
      <w:lvlJc w:val="left"/>
      <w:pPr>
        <w:ind w:left="2172" w:hanging="360"/>
      </w:pPr>
      <w:rPr>
        <w:rFonts w:ascii="Wingdings" w:hAnsi="Wingdings" w:hint="default"/>
      </w:rPr>
    </w:lvl>
    <w:lvl w:ilvl="3" w:tplc="04150001" w:tentative="1">
      <w:start w:val="1"/>
      <w:numFmt w:val="bullet"/>
      <w:lvlText w:val=""/>
      <w:lvlJc w:val="left"/>
      <w:pPr>
        <w:ind w:left="2892" w:hanging="360"/>
      </w:pPr>
      <w:rPr>
        <w:rFonts w:ascii="Symbol" w:hAnsi="Symbol" w:hint="default"/>
      </w:rPr>
    </w:lvl>
    <w:lvl w:ilvl="4" w:tplc="04150003" w:tentative="1">
      <w:start w:val="1"/>
      <w:numFmt w:val="bullet"/>
      <w:lvlText w:val="o"/>
      <w:lvlJc w:val="left"/>
      <w:pPr>
        <w:ind w:left="3612" w:hanging="360"/>
      </w:pPr>
      <w:rPr>
        <w:rFonts w:ascii="Courier New" w:hAnsi="Courier New" w:cs="Courier New" w:hint="default"/>
      </w:rPr>
    </w:lvl>
    <w:lvl w:ilvl="5" w:tplc="04150005" w:tentative="1">
      <w:start w:val="1"/>
      <w:numFmt w:val="bullet"/>
      <w:lvlText w:val=""/>
      <w:lvlJc w:val="left"/>
      <w:pPr>
        <w:ind w:left="4332" w:hanging="360"/>
      </w:pPr>
      <w:rPr>
        <w:rFonts w:ascii="Wingdings" w:hAnsi="Wingdings" w:hint="default"/>
      </w:rPr>
    </w:lvl>
    <w:lvl w:ilvl="6" w:tplc="04150001" w:tentative="1">
      <w:start w:val="1"/>
      <w:numFmt w:val="bullet"/>
      <w:lvlText w:val=""/>
      <w:lvlJc w:val="left"/>
      <w:pPr>
        <w:ind w:left="5052" w:hanging="360"/>
      </w:pPr>
      <w:rPr>
        <w:rFonts w:ascii="Symbol" w:hAnsi="Symbol" w:hint="default"/>
      </w:rPr>
    </w:lvl>
    <w:lvl w:ilvl="7" w:tplc="04150003" w:tentative="1">
      <w:start w:val="1"/>
      <w:numFmt w:val="bullet"/>
      <w:lvlText w:val="o"/>
      <w:lvlJc w:val="left"/>
      <w:pPr>
        <w:ind w:left="5772" w:hanging="360"/>
      </w:pPr>
      <w:rPr>
        <w:rFonts w:ascii="Courier New" w:hAnsi="Courier New" w:cs="Courier New" w:hint="default"/>
      </w:rPr>
    </w:lvl>
    <w:lvl w:ilvl="8" w:tplc="04150005" w:tentative="1">
      <w:start w:val="1"/>
      <w:numFmt w:val="bullet"/>
      <w:lvlText w:val=""/>
      <w:lvlJc w:val="left"/>
      <w:pPr>
        <w:ind w:left="6492" w:hanging="360"/>
      </w:pPr>
      <w:rPr>
        <w:rFonts w:ascii="Wingdings" w:hAnsi="Wingdings" w:hint="default"/>
      </w:rPr>
    </w:lvl>
  </w:abstractNum>
  <w:abstractNum w:abstractNumId="11" w15:restartNumberingAfterBreak="0">
    <w:nsid w:val="260009A5"/>
    <w:multiLevelType w:val="multilevel"/>
    <w:tmpl w:val="7E8AEA92"/>
    <w:lvl w:ilvl="0">
      <w:start w:val="1"/>
      <w:numFmt w:val="decimal"/>
      <w:lvlText w:val="%1."/>
      <w:lvlJc w:val="left"/>
      <w:pPr>
        <w:ind w:left="720" w:hanging="360"/>
      </w:pPr>
      <w:rPr>
        <w:rFonts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714696C"/>
    <w:multiLevelType w:val="hybridMultilevel"/>
    <w:tmpl w:val="2D14CD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C3408CB"/>
    <w:multiLevelType w:val="multilevel"/>
    <w:tmpl w:val="7E8AEA92"/>
    <w:lvl w:ilvl="0">
      <w:start w:val="1"/>
      <w:numFmt w:val="decimal"/>
      <w:lvlText w:val="%1."/>
      <w:lvlJc w:val="left"/>
      <w:pPr>
        <w:ind w:left="927" w:hanging="360"/>
      </w:pPr>
      <w:rPr>
        <w:rFonts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01C5B30"/>
    <w:multiLevelType w:val="hybridMultilevel"/>
    <w:tmpl w:val="26A2A090"/>
    <w:lvl w:ilvl="0" w:tplc="04150003">
      <w:start w:val="1"/>
      <w:numFmt w:val="bullet"/>
      <w:lvlText w:val="o"/>
      <w:lvlJc w:val="left"/>
      <w:pPr>
        <w:ind w:left="1440" w:hanging="360"/>
      </w:pPr>
      <w:rPr>
        <w:rFonts w:ascii="Courier New" w:hAnsi="Courier New" w:cs="Courier New"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31C87ABC"/>
    <w:multiLevelType w:val="hybridMultilevel"/>
    <w:tmpl w:val="7F649EBE"/>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6" w15:restartNumberingAfterBreak="0">
    <w:nsid w:val="347D6CA2"/>
    <w:multiLevelType w:val="hybridMultilevel"/>
    <w:tmpl w:val="AEF43D14"/>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37463F66"/>
    <w:multiLevelType w:val="multilevel"/>
    <w:tmpl w:val="7E8AEA92"/>
    <w:lvl w:ilvl="0">
      <w:start w:val="1"/>
      <w:numFmt w:val="decimal"/>
      <w:lvlText w:val="%1."/>
      <w:lvlJc w:val="left"/>
      <w:pPr>
        <w:ind w:left="927" w:hanging="360"/>
      </w:pPr>
      <w:rPr>
        <w:rFonts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D2E53E1"/>
    <w:multiLevelType w:val="hybridMultilevel"/>
    <w:tmpl w:val="8E9CA1E0"/>
    <w:lvl w:ilvl="0" w:tplc="04150003">
      <w:start w:val="1"/>
      <w:numFmt w:val="bullet"/>
      <w:lvlText w:val="o"/>
      <w:lvlJc w:val="left"/>
      <w:pPr>
        <w:ind w:left="1068" w:hanging="360"/>
      </w:pPr>
      <w:rPr>
        <w:rFonts w:ascii="Courier New" w:hAnsi="Courier New" w:cs="Courier New"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9" w15:restartNumberingAfterBreak="0">
    <w:nsid w:val="40DF66A5"/>
    <w:multiLevelType w:val="hybridMultilevel"/>
    <w:tmpl w:val="6478DE8C"/>
    <w:lvl w:ilvl="0" w:tplc="F4F05ACE">
      <w:numFmt w:val="bullet"/>
      <w:lvlText w:val="•"/>
      <w:lvlJc w:val="left"/>
      <w:pPr>
        <w:ind w:left="1060" w:hanging="700"/>
      </w:pPr>
      <w:rPr>
        <w:rFonts w:ascii="Avenir Book" w:eastAsiaTheme="minorHAnsi" w:hAnsi="Avenir Book"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4564B2B"/>
    <w:multiLevelType w:val="hybridMultilevel"/>
    <w:tmpl w:val="D7788FB2"/>
    <w:lvl w:ilvl="0" w:tplc="04150001">
      <w:start w:val="1"/>
      <w:numFmt w:val="bullet"/>
      <w:lvlText w:val=""/>
      <w:lvlJc w:val="left"/>
      <w:pPr>
        <w:ind w:left="1068" w:hanging="360"/>
      </w:pPr>
      <w:rPr>
        <w:rFonts w:ascii="Symbol" w:hAnsi="Symbol" w:hint="default"/>
      </w:rPr>
    </w:lvl>
    <w:lvl w:ilvl="1" w:tplc="04150003">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21" w15:restartNumberingAfterBreak="0">
    <w:nsid w:val="45E40CB0"/>
    <w:multiLevelType w:val="multilevel"/>
    <w:tmpl w:val="98A80C6C"/>
    <w:lvl w:ilvl="0">
      <w:start w:val="1"/>
      <w:numFmt w:val="decimal"/>
      <w:lvlText w:val="%1."/>
      <w:lvlJc w:val="left"/>
      <w:pPr>
        <w:ind w:left="720" w:hanging="360"/>
      </w:pPr>
      <w:rPr>
        <w:rFonts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679496C"/>
    <w:multiLevelType w:val="hybridMultilevel"/>
    <w:tmpl w:val="17265064"/>
    <w:lvl w:ilvl="0" w:tplc="F4F05ACE">
      <w:numFmt w:val="bullet"/>
      <w:lvlText w:val="•"/>
      <w:lvlJc w:val="left"/>
      <w:pPr>
        <w:ind w:left="1060" w:hanging="700"/>
      </w:pPr>
      <w:rPr>
        <w:rFonts w:ascii="Avenir Book" w:eastAsiaTheme="minorHAnsi" w:hAnsi="Avenir Book"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73C1B3F"/>
    <w:multiLevelType w:val="hybridMultilevel"/>
    <w:tmpl w:val="E914456A"/>
    <w:lvl w:ilvl="0" w:tplc="5BF8A07A">
      <w:start w:val="1"/>
      <w:numFmt w:val="decimal"/>
      <w:lvlText w:val="%1."/>
      <w:lvlJc w:val="left"/>
      <w:pPr>
        <w:ind w:left="7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A3EDEF6">
      <w:start w:val="1"/>
      <w:numFmt w:val="decimal"/>
      <w:lvlText w:val="%2)"/>
      <w:lvlJc w:val="left"/>
      <w:pPr>
        <w:ind w:left="10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FCE2BF0">
      <w:start w:val="1"/>
      <w:numFmt w:val="lowerRoman"/>
      <w:lvlText w:val="%3"/>
      <w:lvlJc w:val="left"/>
      <w:pPr>
        <w:ind w:left="17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F1A69AA">
      <w:start w:val="1"/>
      <w:numFmt w:val="decimal"/>
      <w:lvlText w:val="%4"/>
      <w:lvlJc w:val="left"/>
      <w:pPr>
        <w:ind w:left="25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6141262">
      <w:start w:val="1"/>
      <w:numFmt w:val="lowerLetter"/>
      <w:lvlText w:val="%5"/>
      <w:lvlJc w:val="left"/>
      <w:pPr>
        <w:ind w:left="32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556F0F8">
      <w:start w:val="1"/>
      <w:numFmt w:val="lowerRoman"/>
      <w:lvlText w:val="%6"/>
      <w:lvlJc w:val="left"/>
      <w:pPr>
        <w:ind w:left="39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DE629EA">
      <w:start w:val="1"/>
      <w:numFmt w:val="decimal"/>
      <w:lvlText w:val="%7"/>
      <w:lvlJc w:val="left"/>
      <w:pPr>
        <w:ind w:left="46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5B802AC">
      <w:start w:val="1"/>
      <w:numFmt w:val="lowerLetter"/>
      <w:lvlText w:val="%8"/>
      <w:lvlJc w:val="left"/>
      <w:pPr>
        <w:ind w:left="53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D7EAD72">
      <w:start w:val="1"/>
      <w:numFmt w:val="lowerRoman"/>
      <w:lvlText w:val="%9"/>
      <w:lvlJc w:val="left"/>
      <w:pPr>
        <w:ind w:left="61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47682932"/>
    <w:multiLevelType w:val="multilevel"/>
    <w:tmpl w:val="35FA2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BC750C8"/>
    <w:multiLevelType w:val="multilevel"/>
    <w:tmpl w:val="9D80CC9E"/>
    <w:lvl w:ilvl="0">
      <w:start w:val="1"/>
      <w:numFmt w:val="decimal"/>
      <w:lvlText w:val="%1."/>
      <w:lvlJc w:val="left"/>
      <w:pPr>
        <w:ind w:left="720" w:hanging="360"/>
      </w:pPr>
      <w:rPr>
        <w:rFonts w:hint="default"/>
        <w:b w:val="0"/>
        <w:i w:val="0"/>
        <w:sz w:val="22"/>
      </w:r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D13120F"/>
    <w:multiLevelType w:val="hybridMultilevel"/>
    <w:tmpl w:val="06C062F2"/>
    <w:lvl w:ilvl="0" w:tplc="F4F05ACE">
      <w:numFmt w:val="bullet"/>
      <w:lvlText w:val="•"/>
      <w:lvlJc w:val="left"/>
      <w:pPr>
        <w:ind w:left="1060" w:hanging="700"/>
      </w:pPr>
      <w:rPr>
        <w:rFonts w:ascii="Avenir Book" w:eastAsiaTheme="minorHAnsi" w:hAnsi="Avenir Book"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DF857A9"/>
    <w:multiLevelType w:val="hybridMultilevel"/>
    <w:tmpl w:val="5E2A07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F6B12A4"/>
    <w:multiLevelType w:val="multilevel"/>
    <w:tmpl w:val="7E8AEA92"/>
    <w:lvl w:ilvl="0">
      <w:start w:val="1"/>
      <w:numFmt w:val="decimal"/>
      <w:lvlText w:val="%1."/>
      <w:lvlJc w:val="left"/>
      <w:pPr>
        <w:ind w:left="720" w:hanging="360"/>
      </w:pPr>
      <w:rPr>
        <w:rFonts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6C2F13"/>
    <w:multiLevelType w:val="multilevel"/>
    <w:tmpl w:val="9D80CC9E"/>
    <w:styleLink w:val="Biecalista2"/>
    <w:lvl w:ilvl="0">
      <w:start w:val="1"/>
      <w:numFmt w:val="decimal"/>
      <w:lvlText w:val="%1."/>
      <w:lvlJc w:val="left"/>
      <w:pPr>
        <w:ind w:left="720" w:hanging="360"/>
      </w:pPr>
      <w:rPr>
        <w:rFonts w:hint="default"/>
        <w:b w:val="0"/>
        <w:i w:val="0"/>
        <w:sz w:val="22"/>
      </w:r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37732FF"/>
    <w:multiLevelType w:val="hybridMultilevel"/>
    <w:tmpl w:val="7682C8F2"/>
    <w:lvl w:ilvl="0" w:tplc="F4F05ACE">
      <w:numFmt w:val="bullet"/>
      <w:lvlText w:val="•"/>
      <w:lvlJc w:val="left"/>
      <w:pPr>
        <w:ind w:left="1060" w:hanging="700"/>
      </w:pPr>
      <w:rPr>
        <w:rFonts w:ascii="Avenir Book" w:eastAsiaTheme="minorHAnsi" w:hAnsi="Avenir Book"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5043046"/>
    <w:multiLevelType w:val="hybridMultilevel"/>
    <w:tmpl w:val="41BE87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5461CD6"/>
    <w:multiLevelType w:val="hybridMultilevel"/>
    <w:tmpl w:val="6FAA59A6"/>
    <w:lvl w:ilvl="0" w:tplc="04150001">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3" w15:restartNumberingAfterBreak="0">
    <w:nsid w:val="620C246C"/>
    <w:multiLevelType w:val="hybridMultilevel"/>
    <w:tmpl w:val="ED94DFC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 w15:restartNumberingAfterBreak="0">
    <w:nsid w:val="620C3787"/>
    <w:multiLevelType w:val="multilevel"/>
    <w:tmpl w:val="7E8AEA92"/>
    <w:styleLink w:val="Biecalista1"/>
    <w:lvl w:ilvl="0">
      <w:start w:val="1"/>
      <w:numFmt w:val="decimal"/>
      <w:lvlText w:val="%1."/>
      <w:lvlJc w:val="left"/>
      <w:pPr>
        <w:ind w:left="720" w:hanging="360"/>
      </w:pPr>
      <w:rPr>
        <w:rFonts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51D4561"/>
    <w:multiLevelType w:val="multilevel"/>
    <w:tmpl w:val="98A80C6C"/>
    <w:lvl w:ilvl="0">
      <w:start w:val="1"/>
      <w:numFmt w:val="decimal"/>
      <w:lvlText w:val="%1."/>
      <w:lvlJc w:val="left"/>
      <w:pPr>
        <w:ind w:left="720" w:hanging="360"/>
      </w:pPr>
      <w:rPr>
        <w:rFonts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69E7B29"/>
    <w:multiLevelType w:val="hybridMultilevel"/>
    <w:tmpl w:val="18B4385E"/>
    <w:lvl w:ilvl="0" w:tplc="F4F05ACE">
      <w:numFmt w:val="bullet"/>
      <w:lvlText w:val="•"/>
      <w:lvlJc w:val="left"/>
      <w:pPr>
        <w:ind w:left="1060" w:hanging="700"/>
      </w:pPr>
      <w:rPr>
        <w:rFonts w:ascii="Avenir Book" w:eastAsiaTheme="minorHAnsi" w:hAnsi="Avenir Book"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8C525A8"/>
    <w:multiLevelType w:val="hybridMultilevel"/>
    <w:tmpl w:val="C3985AD0"/>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8" w15:restartNumberingAfterBreak="0">
    <w:nsid w:val="6A576020"/>
    <w:multiLevelType w:val="hybridMultilevel"/>
    <w:tmpl w:val="DF1256C2"/>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9" w15:restartNumberingAfterBreak="0">
    <w:nsid w:val="6A72741B"/>
    <w:multiLevelType w:val="hybridMultilevel"/>
    <w:tmpl w:val="FEA252FA"/>
    <w:lvl w:ilvl="0" w:tplc="F4F05ACE">
      <w:numFmt w:val="bullet"/>
      <w:lvlText w:val="•"/>
      <w:lvlJc w:val="left"/>
      <w:pPr>
        <w:ind w:left="1060" w:hanging="700"/>
      </w:pPr>
      <w:rPr>
        <w:rFonts w:ascii="Avenir Book" w:eastAsiaTheme="minorHAnsi" w:hAnsi="Avenir Book"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AD35BD8"/>
    <w:multiLevelType w:val="multilevel"/>
    <w:tmpl w:val="98A80C6C"/>
    <w:lvl w:ilvl="0">
      <w:start w:val="1"/>
      <w:numFmt w:val="decimal"/>
      <w:lvlText w:val="%1."/>
      <w:lvlJc w:val="left"/>
      <w:pPr>
        <w:ind w:left="720" w:hanging="360"/>
      </w:pPr>
      <w:rPr>
        <w:rFonts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3A1AFC"/>
    <w:multiLevelType w:val="multilevel"/>
    <w:tmpl w:val="7E8AEA92"/>
    <w:lvl w:ilvl="0">
      <w:start w:val="1"/>
      <w:numFmt w:val="decimal"/>
      <w:lvlText w:val="%1."/>
      <w:lvlJc w:val="left"/>
      <w:pPr>
        <w:ind w:left="720" w:hanging="360"/>
      </w:pPr>
      <w:rPr>
        <w:rFonts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44A7BC9"/>
    <w:multiLevelType w:val="multilevel"/>
    <w:tmpl w:val="7E8AEA92"/>
    <w:lvl w:ilvl="0">
      <w:start w:val="1"/>
      <w:numFmt w:val="decimal"/>
      <w:lvlText w:val="%1."/>
      <w:lvlJc w:val="left"/>
      <w:pPr>
        <w:ind w:left="720" w:hanging="360"/>
      </w:pPr>
      <w:rPr>
        <w:rFonts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4D97D5F"/>
    <w:multiLevelType w:val="hybridMultilevel"/>
    <w:tmpl w:val="FDA40634"/>
    <w:lvl w:ilvl="0" w:tplc="04150001">
      <w:start w:val="1"/>
      <w:numFmt w:val="bullet"/>
      <w:lvlText w:val=""/>
      <w:lvlJc w:val="left"/>
      <w:pPr>
        <w:ind w:left="1068" w:hanging="360"/>
      </w:pPr>
      <w:rPr>
        <w:rFonts w:ascii="Symbol" w:hAnsi="Symbol" w:hint="default"/>
      </w:rPr>
    </w:lvl>
    <w:lvl w:ilvl="1" w:tplc="23980588">
      <w:numFmt w:val="bullet"/>
      <w:lvlText w:val="•"/>
      <w:lvlJc w:val="left"/>
      <w:pPr>
        <w:ind w:left="2488" w:hanging="700"/>
      </w:pPr>
      <w:rPr>
        <w:rFonts w:ascii="Avenir Book" w:eastAsiaTheme="minorHAnsi" w:hAnsi="Avenir Book" w:cs="Calibri"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4" w15:restartNumberingAfterBreak="0">
    <w:nsid w:val="752E2442"/>
    <w:multiLevelType w:val="multilevel"/>
    <w:tmpl w:val="98A80C6C"/>
    <w:lvl w:ilvl="0">
      <w:start w:val="1"/>
      <w:numFmt w:val="decimal"/>
      <w:lvlText w:val="%1."/>
      <w:lvlJc w:val="left"/>
      <w:pPr>
        <w:ind w:left="720" w:hanging="360"/>
      </w:pPr>
      <w:rPr>
        <w:rFonts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89960FD"/>
    <w:multiLevelType w:val="multilevel"/>
    <w:tmpl w:val="7E8AEA92"/>
    <w:lvl w:ilvl="0">
      <w:start w:val="1"/>
      <w:numFmt w:val="decimal"/>
      <w:lvlText w:val="%1."/>
      <w:lvlJc w:val="left"/>
      <w:pPr>
        <w:ind w:left="720" w:hanging="360"/>
      </w:pPr>
      <w:rPr>
        <w:rFonts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CC4E09"/>
    <w:multiLevelType w:val="hybridMultilevel"/>
    <w:tmpl w:val="127A39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9EE64A5"/>
    <w:multiLevelType w:val="hybridMultilevel"/>
    <w:tmpl w:val="A5FE6B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AEF7A86"/>
    <w:multiLevelType w:val="hybridMultilevel"/>
    <w:tmpl w:val="9800AE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7C616D33"/>
    <w:multiLevelType w:val="hybridMultilevel"/>
    <w:tmpl w:val="1D34AF64"/>
    <w:lvl w:ilvl="0" w:tplc="3902584C">
      <w:start w:val="1"/>
      <w:numFmt w:val="decimal"/>
      <w:lvlText w:val="%1."/>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56C2E24">
      <w:start w:val="3"/>
      <w:numFmt w:val="lowerLetter"/>
      <w:lvlText w:val="%2)"/>
      <w:lvlJc w:val="left"/>
      <w:pPr>
        <w:ind w:left="10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09E20C4">
      <w:start w:val="1"/>
      <w:numFmt w:val="lowerRoman"/>
      <w:lvlText w:val="%3"/>
      <w:lvlJc w:val="left"/>
      <w:pPr>
        <w:ind w:left="14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470837C">
      <w:start w:val="1"/>
      <w:numFmt w:val="decimal"/>
      <w:lvlText w:val="%4"/>
      <w:lvlJc w:val="left"/>
      <w:pPr>
        <w:ind w:left="21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5724E70">
      <w:start w:val="1"/>
      <w:numFmt w:val="lowerLetter"/>
      <w:lvlText w:val="%5"/>
      <w:lvlJc w:val="left"/>
      <w:pPr>
        <w:ind w:left="28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364AD02">
      <w:start w:val="1"/>
      <w:numFmt w:val="lowerRoman"/>
      <w:lvlText w:val="%6"/>
      <w:lvlJc w:val="left"/>
      <w:pPr>
        <w:ind w:left="36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6E8AD36">
      <w:start w:val="1"/>
      <w:numFmt w:val="decimal"/>
      <w:lvlText w:val="%7"/>
      <w:lvlJc w:val="left"/>
      <w:pPr>
        <w:ind w:left="43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278AE42">
      <w:start w:val="1"/>
      <w:numFmt w:val="lowerLetter"/>
      <w:lvlText w:val="%8"/>
      <w:lvlJc w:val="left"/>
      <w:pPr>
        <w:ind w:left="50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854892A">
      <w:start w:val="1"/>
      <w:numFmt w:val="lowerRoman"/>
      <w:lvlText w:val="%9"/>
      <w:lvlJc w:val="left"/>
      <w:pPr>
        <w:ind w:left="57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13"/>
  </w:num>
  <w:num w:numId="2">
    <w:abstractNumId w:val="1"/>
  </w:num>
  <w:num w:numId="3">
    <w:abstractNumId w:val="45"/>
  </w:num>
  <w:num w:numId="4">
    <w:abstractNumId w:val="8"/>
  </w:num>
  <w:num w:numId="5">
    <w:abstractNumId w:val="37"/>
  </w:num>
  <w:num w:numId="6">
    <w:abstractNumId w:val="15"/>
  </w:num>
  <w:num w:numId="7">
    <w:abstractNumId w:val="43"/>
  </w:num>
  <w:num w:numId="8">
    <w:abstractNumId w:val="33"/>
  </w:num>
  <w:num w:numId="9">
    <w:abstractNumId w:val="34"/>
  </w:num>
  <w:num w:numId="10">
    <w:abstractNumId w:val="14"/>
  </w:num>
  <w:num w:numId="11">
    <w:abstractNumId w:val="0"/>
  </w:num>
  <w:num w:numId="12">
    <w:abstractNumId w:val="48"/>
  </w:num>
  <w:num w:numId="13">
    <w:abstractNumId w:val="36"/>
  </w:num>
  <w:num w:numId="14">
    <w:abstractNumId w:val="26"/>
  </w:num>
  <w:num w:numId="15">
    <w:abstractNumId w:val="30"/>
  </w:num>
  <w:num w:numId="16">
    <w:abstractNumId w:val="6"/>
  </w:num>
  <w:num w:numId="17">
    <w:abstractNumId w:val="19"/>
  </w:num>
  <w:num w:numId="18">
    <w:abstractNumId w:val="28"/>
  </w:num>
  <w:num w:numId="19">
    <w:abstractNumId w:val="47"/>
  </w:num>
  <w:num w:numId="20">
    <w:abstractNumId w:val="39"/>
  </w:num>
  <w:num w:numId="21">
    <w:abstractNumId w:val="3"/>
  </w:num>
  <w:num w:numId="22">
    <w:abstractNumId w:val="22"/>
  </w:num>
  <w:num w:numId="23">
    <w:abstractNumId w:val="41"/>
  </w:num>
  <w:num w:numId="24">
    <w:abstractNumId w:val="7"/>
  </w:num>
  <w:num w:numId="25">
    <w:abstractNumId w:val="46"/>
  </w:num>
  <w:num w:numId="26">
    <w:abstractNumId w:val="44"/>
  </w:num>
  <w:num w:numId="27">
    <w:abstractNumId w:val="21"/>
  </w:num>
  <w:num w:numId="28">
    <w:abstractNumId w:val="4"/>
  </w:num>
  <w:num w:numId="29">
    <w:abstractNumId w:val="9"/>
  </w:num>
  <w:num w:numId="30">
    <w:abstractNumId w:val="35"/>
  </w:num>
  <w:num w:numId="31">
    <w:abstractNumId w:val="25"/>
  </w:num>
  <w:num w:numId="32">
    <w:abstractNumId w:val="42"/>
  </w:num>
  <w:num w:numId="33">
    <w:abstractNumId w:val="12"/>
  </w:num>
  <w:num w:numId="34">
    <w:abstractNumId w:val="18"/>
  </w:num>
  <w:num w:numId="35">
    <w:abstractNumId w:val="29"/>
  </w:num>
  <w:num w:numId="36">
    <w:abstractNumId w:val="20"/>
  </w:num>
  <w:num w:numId="37">
    <w:abstractNumId w:val="10"/>
  </w:num>
  <w:num w:numId="38">
    <w:abstractNumId w:val="32"/>
  </w:num>
  <w:num w:numId="39">
    <w:abstractNumId w:val="31"/>
  </w:num>
  <w:num w:numId="40">
    <w:abstractNumId w:val="27"/>
  </w:num>
  <w:num w:numId="41">
    <w:abstractNumId w:val="16"/>
  </w:num>
  <w:num w:numId="42">
    <w:abstractNumId w:val="38"/>
  </w:num>
  <w:num w:numId="43">
    <w:abstractNumId w:val="40"/>
  </w:num>
  <w:num w:numId="44">
    <w:abstractNumId w:val="11"/>
  </w:num>
  <w:num w:numId="45">
    <w:abstractNumId w:val="17"/>
  </w:num>
  <w:num w:numId="46">
    <w:abstractNumId w:val="2"/>
  </w:num>
  <w:num w:numId="47">
    <w:abstractNumId w:val="49"/>
  </w:num>
  <w:num w:numId="48">
    <w:abstractNumId w:val="23"/>
  </w:num>
  <w:num w:numId="49">
    <w:abstractNumId w:val="24"/>
  </w:num>
  <w:num w:numId="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F37"/>
    <w:rsid w:val="00006A87"/>
    <w:rsid w:val="00031686"/>
    <w:rsid w:val="000327D0"/>
    <w:rsid w:val="00040F45"/>
    <w:rsid w:val="000516CB"/>
    <w:rsid w:val="0006446C"/>
    <w:rsid w:val="000806FD"/>
    <w:rsid w:val="00085CA2"/>
    <w:rsid w:val="00091D51"/>
    <w:rsid w:val="000E3147"/>
    <w:rsid w:val="000F0FC4"/>
    <w:rsid w:val="000F3497"/>
    <w:rsid w:val="00104A35"/>
    <w:rsid w:val="001154B2"/>
    <w:rsid w:val="00116B45"/>
    <w:rsid w:val="001512DF"/>
    <w:rsid w:val="00181A4B"/>
    <w:rsid w:val="0018523B"/>
    <w:rsid w:val="001A02B0"/>
    <w:rsid w:val="001A49BB"/>
    <w:rsid w:val="001B2BB1"/>
    <w:rsid w:val="001D47D2"/>
    <w:rsid w:val="001D7D1C"/>
    <w:rsid w:val="001E4BD5"/>
    <w:rsid w:val="001F5320"/>
    <w:rsid w:val="00212C59"/>
    <w:rsid w:val="002206F7"/>
    <w:rsid w:val="00220C12"/>
    <w:rsid w:val="002242B3"/>
    <w:rsid w:val="0023125E"/>
    <w:rsid w:val="0024487B"/>
    <w:rsid w:val="00244AA6"/>
    <w:rsid w:val="00247BDF"/>
    <w:rsid w:val="00251CC2"/>
    <w:rsid w:val="00260E13"/>
    <w:rsid w:val="00286E57"/>
    <w:rsid w:val="00287B47"/>
    <w:rsid w:val="002A7FE1"/>
    <w:rsid w:val="002B2B26"/>
    <w:rsid w:val="002B2D5E"/>
    <w:rsid w:val="002C09C7"/>
    <w:rsid w:val="002D3608"/>
    <w:rsid w:val="002D580B"/>
    <w:rsid w:val="002D76F0"/>
    <w:rsid w:val="002E22B9"/>
    <w:rsid w:val="002E39CC"/>
    <w:rsid w:val="002F1302"/>
    <w:rsid w:val="003000F5"/>
    <w:rsid w:val="003055CE"/>
    <w:rsid w:val="00307BF8"/>
    <w:rsid w:val="00322CAC"/>
    <w:rsid w:val="00323292"/>
    <w:rsid w:val="003415D0"/>
    <w:rsid w:val="003446D0"/>
    <w:rsid w:val="003512C3"/>
    <w:rsid w:val="00353618"/>
    <w:rsid w:val="00365A0A"/>
    <w:rsid w:val="00375A8E"/>
    <w:rsid w:val="00386572"/>
    <w:rsid w:val="0038663C"/>
    <w:rsid w:val="003979BD"/>
    <w:rsid w:val="00397AEC"/>
    <w:rsid w:val="003A26C3"/>
    <w:rsid w:val="003A6F6F"/>
    <w:rsid w:val="003B0907"/>
    <w:rsid w:val="003B14D3"/>
    <w:rsid w:val="003B4013"/>
    <w:rsid w:val="003D7549"/>
    <w:rsid w:val="003E5DB0"/>
    <w:rsid w:val="003E72D1"/>
    <w:rsid w:val="003F32BA"/>
    <w:rsid w:val="0040429B"/>
    <w:rsid w:val="00405ACC"/>
    <w:rsid w:val="00406C38"/>
    <w:rsid w:val="0041459A"/>
    <w:rsid w:val="00426143"/>
    <w:rsid w:val="0042637C"/>
    <w:rsid w:val="00432BCE"/>
    <w:rsid w:val="0043451B"/>
    <w:rsid w:val="004374C0"/>
    <w:rsid w:val="00447F9F"/>
    <w:rsid w:val="00453047"/>
    <w:rsid w:val="004605DB"/>
    <w:rsid w:val="00462318"/>
    <w:rsid w:val="00463B92"/>
    <w:rsid w:val="0047750C"/>
    <w:rsid w:val="00481569"/>
    <w:rsid w:val="00486C35"/>
    <w:rsid w:val="0049252C"/>
    <w:rsid w:val="00493F02"/>
    <w:rsid w:val="00494E3F"/>
    <w:rsid w:val="004A4C4C"/>
    <w:rsid w:val="004A7AE5"/>
    <w:rsid w:val="004B3D45"/>
    <w:rsid w:val="004B49F4"/>
    <w:rsid w:val="004C0992"/>
    <w:rsid w:val="004C6B30"/>
    <w:rsid w:val="004D4BCA"/>
    <w:rsid w:val="004E197E"/>
    <w:rsid w:val="00502D35"/>
    <w:rsid w:val="00505E09"/>
    <w:rsid w:val="00517315"/>
    <w:rsid w:val="00517AAD"/>
    <w:rsid w:val="00536711"/>
    <w:rsid w:val="0053694C"/>
    <w:rsid w:val="00537854"/>
    <w:rsid w:val="00541119"/>
    <w:rsid w:val="00553B00"/>
    <w:rsid w:val="00555CED"/>
    <w:rsid w:val="00564E43"/>
    <w:rsid w:val="005663C2"/>
    <w:rsid w:val="00587F7E"/>
    <w:rsid w:val="00590A80"/>
    <w:rsid w:val="005A0E4D"/>
    <w:rsid w:val="005A17AF"/>
    <w:rsid w:val="005C6FD6"/>
    <w:rsid w:val="005D7F08"/>
    <w:rsid w:val="005E6683"/>
    <w:rsid w:val="00600468"/>
    <w:rsid w:val="00613B53"/>
    <w:rsid w:val="00614052"/>
    <w:rsid w:val="006332F1"/>
    <w:rsid w:val="00652C13"/>
    <w:rsid w:val="00666246"/>
    <w:rsid w:val="00671B36"/>
    <w:rsid w:val="00685154"/>
    <w:rsid w:val="0068517A"/>
    <w:rsid w:val="00690B63"/>
    <w:rsid w:val="00693C85"/>
    <w:rsid w:val="006942EE"/>
    <w:rsid w:val="006A2D0B"/>
    <w:rsid w:val="006A2D98"/>
    <w:rsid w:val="006A7BED"/>
    <w:rsid w:val="006B0F37"/>
    <w:rsid w:val="006B144B"/>
    <w:rsid w:val="006B5304"/>
    <w:rsid w:val="006C61CF"/>
    <w:rsid w:val="006D0CF4"/>
    <w:rsid w:val="006E2840"/>
    <w:rsid w:val="006E5BD8"/>
    <w:rsid w:val="006F1AB7"/>
    <w:rsid w:val="006F5487"/>
    <w:rsid w:val="00706167"/>
    <w:rsid w:val="00714914"/>
    <w:rsid w:val="007250F6"/>
    <w:rsid w:val="00762E04"/>
    <w:rsid w:val="00764D69"/>
    <w:rsid w:val="00774BA2"/>
    <w:rsid w:val="007A4E19"/>
    <w:rsid w:val="007B688A"/>
    <w:rsid w:val="007C087E"/>
    <w:rsid w:val="007C088E"/>
    <w:rsid w:val="007D03E5"/>
    <w:rsid w:val="007D7BC1"/>
    <w:rsid w:val="007D7F3C"/>
    <w:rsid w:val="007E21C6"/>
    <w:rsid w:val="007E52D4"/>
    <w:rsid w:val="007F115F"/>
    <w:rsid w:val="007F3A03"/>
    <w:rsid w:val="007F46A2"/>
    <w:rsid w:val="007F6817"/>
    <w:rsid w:val="00800FD8"/>
    <w:rsid w:val="00802824"/>
    <w:rsid w:val="00823A70"/>
    <w:rsid w:val="008253DC"/>
    <w:rsid w:val="0082584A"/>
    <w:rsid w:val="0083266F"/>
    <w:rsid w:val="00843B3E"/>
    <w:rsid w:val="008534B0"/>
    <w:rsid w:val="0086439B"/>
    <w:rsid w:val="00874092"/>
    <w:rsid w:val="00883CAC"/>
    <w:rsid w:val="008906A1"/>
    <w:rsid w:val="008972A0"/>
    <w:rsid w:val="008A0004"/>
    <w:rsid w:val="008A3C27"/>
    <w:rsid w:val="008B1650"/>
    <w:rsid w:val="008B7359"/>
    <w:rsid w:val="008C19CB"/>
    <w:rsid w:val="008C4AC8"/>
    <w:rsid w:val="008C71CE"/>
    <w:rsid w:val="008D5041"/>
    <w:rsid w:val="008E2103"/>
    <w:rsid w:val="008E59B6"/>
    <w:rsid w:val="008F67AA"/>
    <w:rsid w:val="00911EDE"/>
    <w:rsid w:val="009129F9"/>
    <w:rsid w:val="00923491"/>
    <w:rsid w:val="009312E4"/>
    <w:rsid w:val="00936601"/>
    <w:rsid w:val="00943151"/>
    <w:rsid w:val="0094590C"/>
    <w:rsid w:val="0098270B"/>
    <w:rsid w:val="0098730E"/>
    <w:rsid w:val="009A0807"/>
    <w:rsid w:val="009A15A5"/>
    <w:rsid w:val="009B7EC9"/>
    <w:rsid w:val="009C6747"/>
    <w:rsid w:val="009E6490"/>
    <w:rsid w:val="009F1EE9"/>
    <w:rsid w:val="00A00D61"/>
    <w:rsid w:val="00A04346"/>
    <w:rsid w:val="00A04EC1"/>
    <w:rsid w:val="00A11F4C"/>
    <w:rsid w:val="00A12A6D"/>
    <w:rsid w:val="00A21F98"/>
    <w:rsid w:val="00A374CC"/>
    <w:rsid w:val="00A42FB2"/>
    <w:rsid w:val="00A45498"/>
    <w:rsid w:val="00A91704"/>
    <w:rsid w:val="00A93C8D"/>
    <w:rsid w:val="00AC5683"/>
    <w:rsid w:val="00AC6F04"/>
    <w:rsid w:val="00AE04B1"/>
    <w:rsid w:val="00AF11F5"/>
    <w:rsid w:val="00B05762"/>
    <w:rsid w:val="00B07D3C"/>
    <w:rsid w:val="00B07E01"/>
    <w:rsid w:val="00B27EF1"/>
    <w:rsid w:val="00B415A3"/>
    <w:rsid w:val="00B425A0"/>
    <w:rsid w:val="00B43D28"/>
    <w:rsid w:val="00B46A1C"/>
    <w:rsid w:val="00B53341"/>
    <w:rsid w:val="00B54E57"/>
    <w:rsid w:val="00B567A9"/>
    <w:rsid w:val="00B57F2B"/>
    <w:rsid w:val="00B62CFB"/>
    <w:rsid w:val="00B642A8"/>
    <w:rsid w:val="00B66A1F"/>
    <w:rsid w:val="00B8319A"/>
    <w:rsid w:val="00B8338D"/>
    <w:rsid w:val="00B86BA9"/>
    <w:rsid w:val="00BA02D3"/>
    <w:rsid w:val="00BA0716"/>
    <w:rsid w:val="00BB269D"/>
    <w:rsid w:val="00BC10FE"/>
    <w:rsid w:val="00BD60D5"/>
    <w:rsid w:val="00BE6E64"/>
    <w:rsid w:val="00C03D41"/>
    <w:rsid w:val="00C05006"/>
    <w:rsid w:val="00C05394"/>
    <w:rsid w:val="00C236C7"/>
    <w:rsid w:val="00C255D5"/>
    <w:rsid w:val="00C3004E"/>
    <w:rsid w:val="00C30583"/>
    <w:rsid w:val="00C346FF"/>
    <w:rsid w:val="00C370DB"/>
    <w:rsid w:val="00C4355E"/>
    <w:rsid w:val="00C44A91"/>
    <w:rsid w:val="00C630D1"/>
    <w:rsid w:val="00C71C0C"/>
    <w:rsid w:val="00C76F1E"/>
    <w:rsid w:val="00C85764"/>
    <w:rsid w:val="00C92CD9"/>
    <w:rsid w:val="00C93EB8"/>
    <w:rsid w:val="00CD3126"/>
    <w:rsid w:val="00D0036C"/>
    <w:rsid w:val="00D10190"/>
    <w:rsid w:val="00D171A8"/>
    <w:rsid w:val="00D33116"/>
    <w:rsid w:val="00D6233B"/>
    <w:rsid w:val="00D65AFE"/>
    <w:rsid w:val="00D7644C"/>
    <w:rsid w:val="00D81814"/>
    <w:rsid w:val="00D81B69"/>
    <w:rsid w:val="00D85F04"/>
    <w:rsid w:val="00D879BB"/>
    <w:rsid w:val="00D927C8"/>
    <w:rsid w:val="00D96B6C"/>
    <w:rsid w:val="00DC53EB"/>
    <w:rsid w:val="00DC54B0"/>
    <w:rsid w:val="00DD232F"/>
    <w:rsid w:val="00DE12F1"/>
    <w:rsid w:val="00DF1A09"/>
    <w:rsid w:val="00E01E35"/>
    <w:rsid w:val="00E2617F"/>
    <w:rsid w:val="00E3070A"/>
    <w:rsid w:val="00E33AE4"/>
    <w:rsid w:val="00E469C1"/>
    <w:rsid w:val="00E76B51"/>
    <w:rsid w:val="00E8109B"/>
    <w:rsid w:val="00E92E7C"/>
    <w:rsid w:val="00EA563E"/>
    <w:rsid w:val="00EB6040"/>
    <w:rsid w:val="00EB6FE1"/>
    <w:rsid w:val="00EC59E7"/>
    <w:rsid w:val="00ED3961"/>
    <w:rsid w:val="00ED5721"/>
    <w:rsid w:val="00F314B6"/>
    <w:rsid w:val="00F35DDA"/>
    <w:rsid w:val="00F4552B"/>
    <w:rsid w:val="00F52826"/>
    <w:rsid w:val="00F531C1"/>
    <w:rsid w:val="00F615CF"/>
    <w:rsid w:val="00F76878"/>
    <w:rsid w:val="00F86109"/>
    <w:rsid w:val="00F9684F"/>
    <w:rsid w:val="00FA3524"/>
    <w:rsid w:val="00FB06CD"/>
    <w:rsid w:val="00FB0B5A"/>
    <w:rsid w:val="00FB6D1A"/>
    <w:rsid w:val="00FC0782"/>
    <w:rsid w:val="00FE344D"/>
    <w:rsid w:val="00FE65D9"/>
    <w:rsid w:val="00FF6B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88BFA3"/>
  <w15:chartTrackingRefBased/>
  <w15:docId w15:val="{C26FA4D1-8701-4875-89A7-38014C812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ny">
    <w:name w:val="Normal"/>
    <w:qFormat/>
    <w:rsid w:val="00432BCE"/>
  </w:style>
  <w:style w:type="paragraph" w:styleId="Nagwek1">
    <w:name w:val="heading 1"/>
    <w:basedOn w:val="Normalny"/>
    <w:next w:val="Normalny"/>
    <w:link w:val="Nagwek1Znak"/>
    <w:uiPriority w:val="9"/>
    <w:qFormat/>
    <w:rsid w:val="006B0F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6B0F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B0F37"/>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B0F37"/>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B0F37"/>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B0F37"/>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B0F37"/>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B0F37"/>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B0F37"/>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B0F37"/>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B0F37"/>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B0F37"/>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B0F37"/>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B0F37"/>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B0F3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B0F3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B0F3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B0F37"/>
    <w:rPr>
      <w:rFonts w:eastAsiaTheme="majorEastAsia" w:cstheme="majorBidi"/>
      <w:color w:val="272727" w:themeColor="text1" w:themeTint="D8"/>
    </w:rPr>
  </w:style>
  <w:style w:type="paragraph" w:styleId="Tytu">
    <w:name w:val="Title"/>
    <w:basedOn w:val="Normalny"/>
    <w:next w:val="Normalny"/>
    <w:link w:val="TytuZnak"/>
    <w:uiPriority w:val="10"/>
    <w:qFormat/>
    <w:rsid w:val="006B0F37"/>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B0F3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B0F37"/>
    <w:pPr>
      <w:numPr>
        <w:ilvl w:val="1"/>
      </w:numPr>
      <w:spacing w:after="160"/>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B0F3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B0F37"/>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6B0F37"/>
    <w:rPr>
      <w:i/>
      <w:iCs/>
      <w:color w:val="404040" w:themeColor="text1" w:themeTint="BF"/>
    </w:rPr>
  </w:style>
  <w:style w:type="paragraph" w:styleId="Akapitzlist">
    <w:name w:val="List Paragraph"/>
    <w:aliases w:val="Numerowanie,Akapit z listą BS,List Paragraph,L1,sw tekst,Akapit z listą5,normalny tekst,Kolorowa lista — akcent 11,A_wyliczenie,K-P_odwolanie,maz_wyliczenie,opis dzialania,Signature,lp1,Preambuła,CP-UC,CP-Punkty,Bullet List,List - bullets"/>
    <w:basedOn w:val="Normalny"/>
    <w:link w:val="AkapitzlistZnak"/>
    <w:uiPriority w:val="34"/>
    <w:qFormat/>
    <w:rsid w:val="006B0F37"/>
    <w:pPr>
      <w:ind w:left="720"/>
      <w:contextualSpacing/>
    </w:pPr>
  </w:style>
  <w:style w:type="character" w:styleId="Wyrnienieintensywne">
    <w:name w:val="Intense Emphasis"/>
    <w:basedOn w:val="Domylnaczcionkaakapitu"/>
    <w:uiPriority w:val="21"/>
    <w:qFormat/>
    <w:rsid w:val="006B0F37"/>
    <w:rPr>
      <w:i/>
      <w:iCs/>
      <w:color w:val="2F5496" w:themeColor="accent1" w:themeShade="BF"/>
    </w:rPr>
  </w:style>
  <w:style w:type="paragraph" w:styleId="Cytatintensywny">
    <w:name w:val="Intense Quote"/>
    <w:basedOn w:val="Normalny"/>
    <w:next w:val="Normalny"/>
    <w:link w:val="CytatintensywnyZnak"/>
    <w:uiPriority w:val="30"/>
    <w:qFormat/>
    <w:rsid w:val="006B0F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B0F37"/>
    <w:rPr>
      <w:i/>
      <w:iCs/>
      <w:color w:val="2F5496" w:themeColor="accent1" w:themeShade="BF"/>
    </w:rPr>
  </w:style>
  <w:style w:type="character" w:styleId="Odwoanieintensywne">
    <w:name w:val="Intense Reference"/>
    <w:basedOn w:val="Domylnaczcionkaakapitu"/>
    <w:uiPriority w:val="32"/>
    <w:qFormat/>
    <w:rsid w:val="006B0F37"/>
    <w:rPr>
      <w:b/>
      <w:bCs/>
      <w:smallCaps/>
      <w:color w:val="2F5496" w:themeColor="accent1" w:themeShade="BF"/>
      <w:spacing w:val="5"/>
    </w:rPr>
  </w:style>
  <w:style w:type="table" w:styleId="Tabela-Siatka">
    <w:name w:val="Table Grid"/>
    <w:basedOn w:val="Standardowy"/>
    <w:uiPriority w:val="39"/>
    <w:rsid w:val="006B0F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umerowanie Znak,Akapit z listą BS Znak,List Paragraph Znak,L1 Znak,sw tekst Znak,Akapit z listą5 Znak,normalny tekst Znak,Kolorowa lista — akcent 11 Znak,A_wyliczenie Znak,K-P_odwolanie Znak,maz_wyliczenie Znak,opis dzialania Znak"/>
    <w:link w:val="Akapitzlist"/>
    <w:uiPriority w:val="34"/>
    <w:qFormat/>
    <w:locked/>
    <w:rsid w:val="00B57F2B"/>
  </w:style>
  <w:style w:type="character" w:styleId="Odwoaniedokomentarza">
    <w:name w:val="annotation reference"/>
    <w:basedOn w:val="Domylnaczcionkaakapitu"/>
    <w:uiPriority w:val="99"/>
    <w:unhideWhenUsed/>
    <w:rsid w:val="00B57F2B"/>
    <w:rPr>
      <w:sz w:val="16"/>
      <w:szCs w:val="16"/>
    </w:rPr>
  </w:style>
  <w:style w:type="paragraph" w:styleId="Tekstkomentarza">
    <w:name w:val="annotation text"/>
    <w:basedOn w:val="Normalny"/>
    <w:link w:val="TekstkomentarzaZnak"/>
    <w:uiPriority w:val="99"/>
    <w:unhideWhenUsed/>
    <w:rsid w:val="00B57F2B"/>
    <w:pPr>
      <w:spacing w:after="160"/>
    </w:pPr>
    <w:rPr>
      <w:kern w:val="0"/>
      <w:sz w:val="20"/>
      <w:szCs w:val="20"/>
      <w14:ligatures w14:val="none"/>
    </w:rPr>
  </w:style>
  <w:style w:type="character" w:customStyle="1" w:styleId="TekstkomentarzaZnak">
    <w:name w:val="Tekst komentarza Znak"/>
    <w:basedOn w:val="Domylnaczcionkaakapitu"/>
    <w:link w:val="Tekstkomentarza"/>
    <w:uiPriority w:val="99"/>
    <w:rsid w:val="00B57F2B"/>
    <w:rPr>
      <w:kern w:val="0"/>
      <w:sz w:val="20"/>
      <w:szCs w:val="20"/>
      <w14:ligatures w14:val="none"/>
    </w:rPr>
  </w:style>
  <w:style w:type="character" w:styleId="Hipercze">
    <w:name w:val="Hyperlink"/>
    <w:basedOn w:val="Domylnaczcionkaakapitu"/>
    <w:uiPriority w:val="99"/>
    <w:unhideWhenUsed/>
    <w:rsid w:val="00B57F2B"/>
    <w:rPr>
      <w:color w:val="0563C1" w:themeColor="hyperlink"/>
      <w:u w:val="single"/>
    </w:rPr>
  </w:style>
  <w:style w:type="character" w:styleId="UyteHipercze">
    <w:name w:val="FollowedHyperlink"/>
    <w:basedOn w:val="Domylnaczcionkaakapitu"/>
    <w:uiPriority w:val="99"/>
    <w:semiHidden/>
    <w:unhideWhenUsed/>
    <w:rsid w:val="00B57F2B"/>
    <w:rPr>
      <w:color w:val="954F72" w:themeColor="followedHyperlink"/>
      <w:u w:val="single"/>
    </w:rPr>
  </w:style>
  <w:style w:type="paragraph" w:styleId="Tekstprzypisudolnego">
    <w:name w:val="footnote text"/>
    <w:basedOn w:val="Normalny"/>
    <w:link w:val="TekstprzypisudolnegoZnak"/>
    <w:uiPriority w:val="99"/>
    <w:unhideWhenUsed/>
    <w:rsid w:val="00FC0782"/>
    <w:pPr>
      <w:ind w:left="366" w:hanging="365"/>
      <w:jc w:val="both"/>
    </w:pPr>
    <w:rPr>
      <w:rFonts w:ascii="Century Gothic" w:eastAsia="Century Gothic" w:hAnsi="Century Gothic" w:cs="Century Gothic"/>
      <w:color w:val="000000"/>
      <w:kern w:val="0"/>
      <w:sz w:val="20"/>
      <w:szCs w:val="20"/>
      <w:lang w:eastAsia="pl-PL"/>
      <w14:ligatures w14:val="none"/>
    </w:rPr>
  </w:style>
  <w:style w:type="character" w:customStyle="1" w:styleId="TekstprzypisudolnegoZnak">
    <w:name w:val="Tekst przypisu dolnego Znak"/>
    <w:basedOn w:val="Domylnaczcionkaakapitu"/>
    <w:link w:val="Tekstprzypisudolnego"/>
    <w:uiPriority w:val="99"/>
    <w:rsid w:val="00FC0782"/>
    <w:rPr>
      <w:rFonts w:ascii="Century Gothic" w:eastAsia="Century Gothic" w:hAnsi="Century Gothic" w:cs="Century Gothic"/>
      <w:color w:val="000000"/>
      <w:kern w:val="0"/>
      <w:sz w:val="20"/>
      <w:szCs w:val="20"/>
      <w:lang w:eastAsia="pl-PL"/>
      <w14:ligatures w14:val="none"/>
    </w:rPr>
  </w:style>
  <w:style w:type="character" w:styleId="Odwoanieprzypisudolnego">
    <w:name w:val="footnote reference"/>
    <w:basedOn w:val="Domylnaczcionkaakapitu"/>
    <w:uiPriority w:val="99"/>
    <w:semiHidden/>
    <w:unhideWhenUsed/>
    <w:rsid w:val="00FC0782"/>
    <w:rPr>
      <w:vertAlign w:val="superscript"/>
    </w:rPr>
  </w:style>
  <w:style w:type="numbering" w:customStyle="1" w:styleId="Biecalista1">
    <w:name w:val="Bieżąca lista1"/>
    <w:uiPriority w:val="99"/>
    <w:rsid w:val="00426143"/>
    <w:pPr>
      <w:numPr>
        <w:numId w:val="9"/>
      </w:numPr>
    </w:pPr>
  </w:style>
  <w:style w:type="paragraph" w:styleId="Tekstprzypisukocowego">
    <w:name w:val="endnote text"/>
    <w:basedOn w:val="Normalny"/>
    <w:link w:val="TekstprzypisukocowegoZnak"/>
    <w:uiPriority w:val="99"/>
    <w:unhideWhenUsed/>
    <w:rsid w:val="00426143"/>
    <w:rPr>
      <w:sz w:val="20"/>
      <w:szCs w:val="20"/>
    </w:rPr>
  </w:style>
  <w:style w:type="character" w:customStyle="1" w:styleId="TekstprzypisukocowegoZnak">
    <w:name w:val="Tekst przypisu końcowego Znak"/>
    <w:basedOn w:val="Domylnaczcionkaakapitu"/>
    <w:link w:val="Tekstprzypisukocowego"/>
    <w:uiPriority w:val="99"/>
    <w:rsid w:val="00426143"/>
    <w:rPr>
      <w:sz w:val="20"/>
      <w:szCs w:val="20"/>
    </w:rPr>
  </w:style>
  <w:style w:type="character" w:styleId="Odwoanieprzypisukocowego">
    <w:name w:val="endnote reference"/>
    <w:basedOn w:val="Domylnaczcionkaakapitu"/>
    <w:uiPriority w:val="99"/>
    <w:semiHidden/>
    <w:unhideWhenUsed/>
    <w:rsid w:val="00426143"/>
    <w:rPr>
      <w:vertAlign w:val="superscript"/>
    </w:rPr>
  </w:style>
  <w:style w:type="numbering" w:customStyle="1" w:styleId="Biecalista2">
    <w:name w:val="Bieżąca lista2"/>
    <w:uiPriority w:val="99"/>
    <w:rsid w:val="001E4BD5"/>
    <w:pPr>
      <w:numPr>
        <w:numId w:val="35"/>
      </w:numPr>
    </w:pPr>
  </w:style>
  <w:style w:type="paragraph" w:styleId="Nagwek">
    <w:name w:val="header"/>
    <w:basedOn w:val="Normalny"/>
    <w:link w:val="NagwekZnak"/>
    <w:uiPriority w:val="99"/>
    <w:unhideWhenUsed/>
    <w:rsid w:val="00D0036C"/>
    <w:pPr>
      <w:tabs>
        <w:tab w:val="center" w:pos="4536"/>
        <w:tab w:val="right" w:pos="9072"/>
      </w:tabs>
    </w:pPr>
  </w:style>
  <w:style w:type="character" w:customStyle="1" w:styleId="NagwekZnak">
    <w:name w:val="Nagłówek Znak"/>
    <w:basedOn w:val="Domylnaczcionkaakapitu"/>
    <w:link w:val="Nagwek"/>
    <w:uiPriority w:val="99"/>
    <w:rsid w:val="00D0036C"/>
  </w:style>
  <w:style w:type="paragraph" w:styleId="Stopka">
    <w:name w:val="footer"/>
    <w:basedOn w:val="Normalny"/>
    <w:link w:val="StopkaZnak"/>
    <w:uiPriority w:val="99"/>
    <w:unhideWhenUsed/>
    <w:rsid w:val="00D0036C"/>
    <w:pPr>
      <w:tabs>
        <w:tab w:val="center" w:pos="4536"/>
        <w:tab w:val="right" w:pos="9072"/>
      </w:tabs>
    </w:pPr>
  </w:style>
  <w:style w:type="character" w:customStyle="1" w:styleId="StopkaZnak">
    <w:name w:val="Stopka Znak"/>
    <w:basedOn w:val="Domylnaczcionkaakapitu"/>
    <w:link w:val="Stopka"/>
    <w:uiPriority w:val="99"/>
    <w:rsid w:val="00D0036C"/>
  </w:style>
  <w:style w:type="character" w:styleId="Nierozpoznanawzmianka">
    <w:name w:val="Unresolved Mention"/>
    <w:basedOn w:val="Domylnaczcionkaakapitu"/>
    <w:uiPriority w:val="99"/>
    <w:rsid w:val="00587F7E"/>
    <w:rPr>
      <w:color w:val="605E5C"/>
      <w:shd w:val="clear" w:color="auto" w:fill="E1DFDD"/>
    </w:rPr>
  </w:style>
  <w:style w:type="paragraph" w:customStyle="1" w:styleId="Default">
    <w:name w:val="Default"/>
    <w:rsid w:val="006C61CF"/>
    <w:pPr>
      <w:autoSpaceDE w:val="0"/>
      <w:autoSpaceDN w:val="0"/>
      <w:adjustRightInd w:val="0"/>
    </w:pPr>
    <w:rPr>
      <w:rFonts w:ascii="Arial Nova" w:hAnsi="Arial Nova" w:cs="Arial Nova"/>
      <w:color w:val="000000"/>
      <w:kern w:val="0"/>
    </w:rPr>
  </w:style>
  <w:style w:type="table" w:customStyle="1" w:styleId="TableGrid">
    <w:name w:val="TableGrid"/>
    <w:rsid w:val="003446D0"/>
    <w:rPr>
      <w:rFonts w:eastAsiaTheme="minorEastAsia"/>
      <w:sz w:val="22"/>
      <w:szCs w:val="22"/>
      <w:lang w:eastAsia="pl-PL"/>
    </w:rPr>
    <w:tblPr>
      <w:tblCellMar>
        <w:top w:w="0" w:type="dxa"/>
        <w:left w:w="0" w:type="dxa"/>
        <w:bottom w:w="0" w:type="dxa"/>
        <w:right w:w="0" w:type="dxa"/>
      </w:tblCellMar>
    </w:tblPr>
  </w:style>
  <w:style w:type="paragraph" w:styleId="Tematkomentarza">
    <w:name w:val="annotation subject"/>
    <w:basedOn w:val="Tekstkomentarza"/>
    <w:next w:val="Tekstkomentarza"/>
    <w:link w:val="TematkomentarzaZnak"/>
    <w:uiPriority w:val="99"/>
    <w:semiHidden/>
    <w:unhideWhenUsed/>
    <w:rsid w:val="00BA02D3"/>
    <w:pPr>
      <w:spacing w:after="0"/>
    </w:pPr>
    <w:rPr>
      <w:b/>
      <w:bCs/>
      <w:kern w:val="2"/>
      <w14:ligatures w14:val="standardContextual"/>
    </w:rPr>
  </w:style>
  <w:style w:type="character" w:customStyle="1" w:styleId="TematkomentarzaZnak">
    <w:name w:val="Temat komentarza Znak"/>
    <w:basedOn w:val="TekstkomentarzaZnak"/>
    <w:link w:val="Tematkomentarza"/>
    <w:uiPriority w:val="99"/>
    <w:semiHidden/>
    <w:rsid w:val="00BA02D3"/>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926995">
      <w:bodyDiv w:val="1"/>
      <w:marLeft w:val="0"/>
      <w:marRight w:val="0"/>
      <w:marTop w:val="0"/>
      <w:marBottom w:val="0"/>
      <w:divBdr>
        <w:top w:val="none" w:sz="0" w:space="0" w:color="auto"/>
        <w:left w:val="none" w:sz="0" w:space="0" w:color="auto"/>
        <w:bottom w:val="none" w:sz="0" w:space="0" w:color="auto"/>
        <w:right w:val="none" w:sz="0" w:space="0" w:color="auto"/>
      </w:divBdr>
    </w:div>
    <w:div w:id="644972442">
      <w:bodyDiv w:val="1"/>
      <w:marLeft w:val="0"/>
      <w:marRight w:val="0"/>
      <w:marTop w:val="0"/>
      <w:marBottom w:val="0"/>
      <w:divBdr>
        <w:top w:val="none" w:sz="0" w:space="0" w:color="auto"/>
        <w:left w:val="none" w:sz="0" w:space="0" w:color="auto"/>
        <w:bottom w:val="none" w:sz="0" w:space="0" w:color="auto"/>
        <w:right w:val="none" w:sz="0" w:space="0" w:color="auto"/>
      </w:divBdr>
    </w:div>
    <w:div w:id="797189498">
      <w:bodyDiv w:val="1"/>
      <w:marLeft w:val="0"/>
      <w:marRight w:val="0"/>
      <w:marTop w:val="0"/>
      <w:marBottom w:val="0"/>
      <w:divBdr>
        <w:top w:val="none" w:sz="0" w:space="0" w:color="auto"/>
        <w:left w:val="none" w:sz="0" w:space="0" w:color="auto"/>
        <w:bottom w:val="none" w:sz="0" w:space="0" w:color="auto"/>
        <w:right w:val="none" w:sz="0" w:space="0" w:color="auto"/>
      </w:divBdr>
    </w:div>
    <w:div w:id="805313671">
      <w:bodyDiv w:val="1"/>
      <w:marLeft w:val="0"/>
      <w:marRight w:val="0"/>
      <w:marTop w:val="0"/>
      <w:marBottom w:val="0"/>
      <w:divBdr>
        <w:top w:val="none" w:sz="0" w:space="0" w:color="auto"/>
        <w:left w:val="none" w:sz="0" w:space="0" w:color="auto"/>
        <w:bottom w:val="none" w:sz="0" w:space="0" w:color="auto"/>
        <w:right w:val="none" w:sz="0" w:space="0" w:color="auto"/>
      </w:divBdr>
    </w:div>
    <w:div w:id="1070543575">
      <w:bodyDiv w:val="1"/>
      <w:marLeft w:val="0"/>
      <w:marRight w:val="0"/>
      <w:marTop w:val="0"/>
      <w:marBottom w:val="0"/>
      <w:divBdr>
        <w:top w:val="none" w:sz="0" w:space="0" w:color="auto"/>
        <w:left w:val="none" w:sz="0" w:space="0" w:color="auto"/>
        <w:bottom w:val="none" w:sz="0" w:space="0" w:color="auto"/>
        <w:right w:val="none" w:sz="0" w:space="0" w:color="auto"/>
      </w:divBdr>
    </w:div>
    <w:div w:id="127494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C6C49-473E-4778-9091-ED3560F22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3053</Words>
  <Characters>18322</Characters>
  <Application>Microsoft Office Word</Application>
  <DocSecurity>0</DocSecurity>
  <Lines>152</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Jankowski</dc:creator>
  <cp:keywords/>
  <dc:description/>
  <cp:lastModifiedBy>szpja</cp:lastModifiedBy>
  <cp:revision>9</cp:revision>
  <dcterms:created xsi:type="dcterms:W3CDTF">2024-10-17T11:55:00Z</dcterms:created>
  <dcterms:modified xsi:type="dcterms:W3CDTF">2024-10-17T20:26:00Z</dcterms:modified>
</cp:coreProperties>
</file>